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4BE4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AC4BE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40B3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AC4BE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40B3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440B3B" w:rsidRDefault="00AC4BE4">
      <w:pPr>
        <w:jc w:val="center"/>
        <w:rPr>
          <w:b/>
          <w:sz w:val="26"/>
        </w:rPr>
      </w:pPr>
    </w:p>
    <w:p w:rsidR="00000000" w:rsidRDefault="00AC4BE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AC4BE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440B3B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09 апреля 2020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AC4BE4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440B3B">
        <w:tc>
          <w:tcPr>
            <w:tcW w:w="4678" w:type="dxa"/>
            <w:shd w:val="clear" w:color="auto" w:fill="auto"/>
          </w:tcPr>
          <w:p w:rsidR="00000000" w:rsidRPr="00440B3B" w:rsidRDefault="00440B3B">
            <w:pPr>
              <w:rPr>
                <w:sz w:val="26"/>
              </w:rPr>
            </w:pPr>
            <w:r w:rsidRPr="00440B3B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440B3B" w:rsidRDefault="00AC4BE4">
            <w:pPr>
              <w:ind w:firstLine="720"/>
              <w:jc w:val="right"/>
              <w:rPr>
                <w:sz w:val="26"/>
              </w:rPr>
            </w:pPr>
          </w:p>
        </w:tc>
      </w:tr>
      <w:tr w:rsidR="00000000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AC4BE4">
            <w:pPr>
              <w:rPr>
                <w:sz w:val="26"/>
              </w:rPr>
            </w:pPr>
          </w:p>
        </w:tc>
      </w:tr>
      <w:tr w:rsid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Представитель главного правового управления Губернатора Иркутской области и Правительства Иркутской области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имущественных отношений Иркутской области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лесного комплекса Иркутской области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природных ресурсов и экологии Иркутской области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сельского хозяйства Иркутской области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юстиции Российской Федерации по Иркутской области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Представитель НО "Ассоциация муниципальных образований Иркутской области"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Представитель правового управления аппарата Законодательного Собрания Иркутской области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финансов Иркутской области</w:t>
            </w:r>
          </w:p>
        </w:tc>
      </w:tr>
      <w:tr w:rsid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Представитель прокуратуры Иркутской области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Морохоева Ирина Петровна – председатель Контрольно-счетной палаты Иркутской области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Буянов Роман Викторович – исполняющий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440B3B" w:rsidRPr="00440B3B">
        <w:tc>
          <w:tcPr>
            <w:tcW w:w="9640" w:type="dxa"/>
            <w:gridSpan w:val="2"/>
            <w:shd w:val="clear" w:color="auto" w:fill="auto"/>
            <w:vAlign w:val="center"/>
          </w:tcPr>
          <w:p w:rsidR="00440B3B" w:rsidRDefault="00440B3B">
            <w:pPr>
              <w:rPr>
                <w:sz w:val="26"/>
              </w:rPr>
            </w:pPr>
            <w:r>
              <w:rPr>
                <w:sz w:val="26"/>
              </w:rPr>
              <w:t>Магомедов Теймур Талехович – исполняющий обязанности заместителя Председателя Правительства Иркутской области</w:t>
            </w:r>
          </w:p>
        </w:tc>
      </w:tr>
    </w:tbl>
    <w:p w:rsidR="00000000" w:rsidRPr="00440B3B" w:rsidRDefault="00AC4BE4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440B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AC4B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440B3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tcMar>
              <w:top w:w="283" w:type="dxa"/>
            </w:tcMar>
          </w:tcPr>
          <w:p w:rsidR="00440B3B" w:rsidRPr="00440B3B" w:rsidRDefault="00440B3B" w:rsidP="00440B3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440B3B" w:rsidRDefault="00440B3B" w:rsidP="00440B3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40B3B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440B3B" w:rsidTr="00440B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40B3B" w:rsidRDefault="00440B3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440B3B" w:rsidRDefault="00440B3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11.20</w:t>
            </w:r>
          </w:p>
          <w:p w:rsidR="00440B3B" w:rsidRDefault="00440B3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ПЗ-669(1чт)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40B3B" w:rsidRPr="00440B3B" w:rsidRDefault="00440B3B" w:rsidP="00440B3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ПЗ-669 «О внесении изменений в Закон Иркутской области «О бесплатном предоставлении земельных участков в собственность граждан» (первое чтение)</w:t>
            </w:r>
          </w:p>
          <w:p w:rsidR="00440B3B" w:rsidRPr="00440B3B" w:rsidRDefault="00440B3B" w:rsidP="00440B3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40B3B">
              <w:rPr>
                <w:i/>
                <w:color w:val="000000"/>
                <w:sz w:val="26"/>
                <w:szCs w:val="26"/>
              </w:rPr>
              <w:t>Быргазова Марина Александровна – исполняющая обязанности министра имущественных отношений Иркутской области</w:t>
            </w:r>
          </w:p>
        </w:tc>
      </w:tr>
      <w:tr w:rsidR="00440B3B" w:rsidTr="00440B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40B3B" w:rsidRDefault="00440B3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440B3B" w:rsidRDefault="00440B3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11.20 – 11.30</w:t>
            </w:r>
          </w:p>
          <w:p w:rsidR="00440B3B" w:rsidRDefault="00440B3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ПВ-2445</w:t>
            </w:r>
          </w:p>
        </w:tc>
        <w:tc>
          <w:tcPr>
            <w:tcW w:w="7372" w:type="dxa"/>
            <w:tcMar>
              <w:top w:w="283" w:type="dxa"/>
            </w:tcMar>
          </w:tcPr>
          <w:p w:rsidR="00440B3B" w:rsidRPr="00440B3B" w:rsidRDefault="00440B3B" w:rsidP="00440B3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отзыве на проект федерального закона № 909679-7 «О внесении изменений в Земельный кодекс Российской Федерации и отдельные законодательные акты в целях регулирования земельных отношений на территории населенных пунктов в составе особо охраняемых природных территорий», внесенный депутатами Государственной Думы Федерального Собрания Российской Федерации Н.П. Николаевым, С.И. Крючеком</w:t>
            </w:r>
          </w:p>
          <w:p w:rsidR="00440B3B" w:rsidRPr="00440B3B" w:rsidRDefault="00440B3B" w:rsidP="00440B3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40B3B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440B3B" w:rsidTr="00440B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40B3B" w:rsidRDefault="00440B3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440B3B" w:rsidRDefault="00440B3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 – 11.40</w:t>
            </w:r>
          </w:p>
          <w:p w:rsidR="00440B3B" w:rsidRDefault="00440B3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ПВ-2446</w:t>
            </w:r>
          </w:p>
        </w:tc>
        <w:tc>
          <w:tcPr>
            <w:tcW w:w="7372" w:type="dxa"/>
            <w:tcMar>
              <w:top w:w="283" w:type="dxa"/>
            </w:tcMar>
          </w:tcPr>
          <w:p w:rsidR="00440B3B" w:rsidRPr="00440B3B" w:rsidRDefault="00440B3B" w:rsidP="00440B3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отзыве на проект федерального закона № 922421-7 «О внесении изменений в Федеральный закон «Об охране озера Байкал», внесенный Правительством Российской Федерации</w:t>
            </w:r>
          </w:p>
          <w:p w:rsidR="00440B3B" w:rsidRPr="00440B3B" w:rsidRDefault="00440B3B" w:rsidP="00440B3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40B3B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Default="00AC4BE4">
      <w:pPr>
        <w:rPr>
          <w:sz w:val="2"/>
          <w:szCs w:val="2"/>
          <w:lang w:val="en-US"/>
        </w:rPr>
      </w:pPr>
    </w:p>
    <w:p w:rsidR="00000000" w:rsidRDefault="00AC4BE4">
      <w:pPr>
        <w:spacing w:before="720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Default="00440B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440B3B" w:rsidRDefault="00440B3B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440B3B" w:rsidRDefault="00440B3B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440B3B" w:rsidRDefault="00440B3B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440B3B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440B3B" w:rsidRDefault="00440B3B">
      <w:pPr>
        <w:rPr>
          <w:sz w:val="28"/>
          <w:szCs w:val="28"/>
          <w:lang w:val="en-US"/>
        </w:rPr>
      </w:pPr>
    </w:p>
    <w:sectPr w:rsidR="00440B3B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BE4" w:rsidRDefault="00AC4BE4">
      <w:r>
        <w:separator/>
      </w:r>
    </w:p>
  </w:endnote>
  <w:endnote w:type="continuationSeparator" w:id="0">
    <w:p w:rsidR="00AC4BE4" w:rsidRDefault="00AC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C4BE4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AC4B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BE4" w:rsidRDefault="00AC4BE4">
      <w:r>
        <w:separator/>
      </w:r>
    </w:p>
  </w:footnote>
  <w:footnote w:type="continuationSeparator" w:id="0">
    <w:p w:rsidR="00AC4BE4" w:rsidRDefault="00AC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C4BE4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AC4B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C4BE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40B3B">
      <w:rPr>
        <w:noProof/>
      </w:rPr>
      <w:t>2</w:t>
    </w:r>
    <w:r>
      <w:fldChar w:fldCharType="end"/>
    </w:r>
  </w:p>
  <w:p w:rsidR="00000000" w:rsidRDefault="00AC4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440B3B"/>
    <w:rsid w:val="00440B3B"/>
    <w:rsid w:val="00A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390627"/>
  <w15:chartTrackingRefBased/>
  <w15:docId w15:val="{F244B890-4968-4734-B324-2E6796FF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041D-6EFC-4CEE-921A-9F34FF5B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2020-04-08T06:49:00Z</dcterms:created>
  <dcterms:modified xsi:type="dcterms:W3CDTF">2020-04-08T06:49:00Z</dcterms:modified>
</cp:coreProperties>
</file>