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95" w:rsidRDefault="00D31995" w:rsidP="0038446B">
      <w:pPr>
        <w:jc w:val="center"/>
        <w:rPr>
          <w:szCs w:val="28"/>
        </w:rPr>
      </w:pPr>
      <w:r>
        <w:rPr>
          <w:szCs w:val="28"/>
        </w:rPr>
        <w:t>Информация</w:t>
      </w:r>
    </w:p>
    <w:p w:rsidR="0038446B" w:rsidRPr="008370E6" w:rsidRDefault="008370E6" w:rsidP="0038446B">
      <w:pPr>
        <w:jc w:val="both"/>
        <w:rPr>
          <w:szCs w:val="28"/>
        </w:rPr>
      </w:pPr>
      <w:r>
        <w:rPr>
          <w:szCs w:val="28"/>
        </w:rPr>
        <w:t>на заседание</w:t>
      </w:r>
      <w:bookmarkStart w:id="0" w:name="_GoBack"/>
      <w:bookmarkEnd w:id="0"/>
      <w:r w:rsidR="00D31995">
        <w:rPr>
          <w:szCs w:val="28"/>
        </w:rPr>
        <w:t xml:space="preserve"> </w:t>
      </w:r>
      <w:r w:rsidR="0038446B">
        <w:rPr>
          <w:szCs w:val="28"/>
        </w:rPr>
        <w:t>комитета по социально-культурному законодательству Законодательного Собрания И</w:t>
      </w:r>
      <w:r w:rsidR="00D31995">
        <w:rPr>
          <w:szCs w:val="28"/>
        </w:rPr>
        <w:t xml:space="preserve">ркутской области </w:t>
      </w:r>
      <w:r w:rsidR="0038446B">
        <w:rPr>
          <w:szCs w:val="28"/>
        </w:rPr>
        <w:t xml:space="preserve">при рассмотрении </w:t>
      </w:r>
      <w:r w:rsidR="00D31995">
        <w:rPr>
          <w:szCs w:val="28"/>
        </w:rPr>
        <w:t xml:space="preserve"> вопрос</w:t>
      </w:r>
      <w:r w:rsidR="0038446B">
        <w:rPr>
          <w:szCs w:val="28"/>
        </w:rPr>
        <w:t xml:space="preserve">а о ходе исполнения </w:t>
      </w:r>
      <w:r w:rsidR="0038446B" w:rsidRPr="0038446B">
        <w:rPr>
          <w:szCs w:val="28"/>
        </w:rPr>
        <w:t xml:space="preserve">подпрограммы «Комплексные меры профилактики злоупотребления наркотическими средствами, токсическими и психотропными веществами» на 2019 - 2024 годы государственной программы Иркутской области «Молодежная политика» на 2019-2024 годы </w:t>
      </w:r>
    </w:p>
    <w:p w:rsidR="00B3341C" w:rsidRPr="008370E6" w:rsidRDefault="00B3341C" w:rsidP="0038446B">
      <w:pPr>
        <w:jc w:val="both"/>
        <w:rPr>
          <w:szCs w:val="28"/>
        </w:rPr>
      </w:pP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По данным министерства сельского хозяйства Иркутской области и аппарата антинаркотической комиссии в Иркутской области, дикорастущая конопля выявлена на территории 32 муниципальных образований Иркутской области на площади 2341,5 га (2019 год – на территории 32 муниципальных образований на площади 2689,6 га).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 xml:space="preserve">Наиболее засорены дикорастущей коноплей территории 6 муниципальных образований: муниципальное образование «Аларский район» (490,9 га), </w:t>
      </w:r>
      <w:proofErr w:type="spellStart"/>
      <w:r w:rsidRPr="00B3341C">
        <w:rPr>
          <w:szCs w:val="28"/>
        </w:rPr>
        <w:t>Зиминского</w:t>
      </w:r>
      <w:proofErr w:type="spellEnd"/>
      <w:r w:rsidRPr="00B3341C">
        <w:rPr>
          <w:szCs w:val="28"/>
        </w:rPr>
        <w:t xml:space="preserve"> районного муниципального образования (274,9 га), Ангарского городского округа (243,6 га), Иркутского районного муниципального образования (165,0 га), муниципальное образование «</w:t>
      </w:r>
      <w:proofErr w:type="spellStart"/>
      <w:r w:rsidRPr="00B3341C">
        <w:rPr>
          <w:szCs w:val="28"/>
        </w:rPr>
        <w:t>Балаганский</w:t>
      </w:r>
      <w:proofErr w:type="spellEnd"/>
      <w:r w:rsidRPr="00B3341C">
        <w:rPr>
          <w:szCs w:val="28"/>
        </w:rPr>
        <w:t xml:space="preserve"> район» (164,3 га), муниципальное образование «</w:t>
      </w:r>
      <w:proofErr w:type="spellStart"/>
      <w:r w:rsidRPr="00B3341C">
        <w:rPr>
          <w:szCs w:val="28"/>
        </w:rPr>
        <w:t>Тулунский</w:t>
      </w:r>
      <w:proofErr w:type="spellEnd"/>
      <w:r w:rsidRPr="00B3341C">
        <w:rPr>
          <w:szCs w:val="28"/>
        </w:rPr>
        <w:t xml:space="preserve"> район» (164,3 га).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Единичные случаи произрастания конопли зафиксированы в муниципальном образовании Иркутской области «</w:t>
      </w:r>
      <w:proofErr w:type="spellStart"/>
      <w:r w:rsidRPr="00B3341C">
        <w:rPr>
          <w:szCs w:val="28"/>
        </w:rPr>
        <w:t>Казачинско</w:t>
      </w:r>
      <w:proofErr w:type="spellEnd"/>
      <w:r w:rsidRPr="00B3341C">
        <w:rPr>
          <w:szCs w:val="28"/>
        </w:rPr>
        <w:t xml:space="preserve">-Ленский район», </w:t>
      </w:r>
      <w:proofErr w:type="spellStart"/>
      <w:r w:rsidRPr="00B3341C">
        <w:rPr>
          <w:szCs w:val="28"/>
        </w:rPr>
        <w:t>Ольхонском</w:t>
      </w:r>
      <w:proofErr w:type="spellEnd"/>
      <w:r w:rsidRPr="00B3341C">
        <w:rPr>
          <w:szCs w:val="28"/>
        </w:rPr>
        <w:t xml:space="preserve"> районном муниципальном образовании, муниципальном образовании «город Свирск», муниципальном </w:t>
      </w:r>
      <w:proofErr w:type="spellStart"/>
      <w:r w:rsidRPr="00B3341C">
        <w:rPr>
          <w:szCs w:val="28"/>
        </w:rPr>
        <w:t>образовани</w:t>
      </w:r>
      <w:proofErr w:type="spellEnd"/>
      <w:r w:rsidRPr="00B3341C">
        <w:rPr>
          <w:szCs w:val="28"/>
        </w:rPr>
        <w:t xml:space="preserve"> «город Черемхово», муниципальном образовании «город Тулун», </w:t>
      </w:r>
      <w:proofErr w:type="spellStart"/>
      <w:r w:rsidRPr="00B3341C">
        <w:rPr>
          <w:szCs w:val="28"/>
        </w:rPr>
        <w:t>Шелеховском</w:t>
      </w:r>
      <w:proofErr w:type="spellEnd"/>
      <w:r w:rsidRPr="00B3341C">
        <w:rPr>
          <w:szCs w:val="28"/>
        </w:rPr>
        <w:t xml:space="preserve">, районе, </w:t>
      </w:r>
      <w:proofErr w:type="spellStart"/>
      <w:r w:rsidRPr="00B3341C">
        <w:rPr>
          <w:szCs w:val="28"/>
        </w:rPr>
        <w:t>Усть-Кутском</w:t>
      </w:r>
      <w:proofErr w:type="spellEnd"/>
      <w:r w:rsidRPr="00B3341C">
        <w:rPr>
          <w:szCs w:val="28"/>
        </w:rPr>
        <w:t xml:space="preserve"> муниципальном образовании.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По данным органов местного самоуправления, дикорастущая конопля в 2020 году не произрастает на территории 10 муниципальных образований: город Бодайбо и района, город Братск, город Иркутск, «</w:t>
      </w:r>
      <w:proofErr w:type="spellStart"/>
      <w:r w:rsidRPr="00B3341C">
        <w:rPr>
          <w:szCs w:val="28"/>
        </w:rPr>
        <w:t>Катангский</w:t>
      </w:r>
      <w:proofErr w:type="spellEnd"/>
      <w:r w:rsidRPr="00B3341C">
        <w:rPr>
          <w:szCs w:val="28"/>
        </w:rPr>
        <w:t xml:space="preserve"> район», Мамско-Чуйский район, «</w:t>
      </w:r>
      <w:proofErr w:type="spellStart"/>
      <w:r w:rsidRPr="00B3341C">
        <w:rPr>
          <w:szCs w:val="28"/>
        </w:rPr>
        <w:t>Нижнеилимский</w:t>
      </w:r>
      <w:proofErr w:type="spellEnd"/>
      <w:r w:rsidRPr="00B3341C">
        <w:rPr>
          <w:szCs w:val="28"/>
        </w:rPr>
        <w:t xml:space="preserve"> район», «город Саянск», «</w:t>
      </w:r>
      <w:proofErr w:type="spellStart"/>
      <w:r w:rsidRPr="00B3341C">
        <w:rPr>
          <w:szCs w:val="28"/>
        </w:rPr>
        <w:t>Слюдянский</w:t>
      </w:r>
      <w:proofErr w:type="spellEnd"/>
      <w:r w:rsidRPr="00B3341C">
        <w:rPr>
          <w:szCs w:val="28"/>
        </w:rPr>
        <w:t xml:space="preserve"> район», город Усть-Илимск, «Усть-Илимский район».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Основными местами произрастания дикорастущей конопли остаются: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-</w:t>
      </w:r>
      <w:r w:rsidRPr="00B3341C">
        <w:rPr>
          <w:szCs w:val="28"/>
        </w:rPr>
        <w:tab/>
        <w:t>очаговые участки на полях;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-</w:t>
      </w:r>
      <w:r w:rsidRPr="00B3341C">
        <w:rPr>
          <w:szCs w:val="28"/>
        </w:rPr>
        <w:tab/>
        <w:t>заброшенные земельные участки у ферм, бывших летних скотных дворов, силосных ям;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-</w:t>
      </w:r>
      <w:r w:rsidRPr="00B3341C">
        <w:rPr>
          <w:szCs w:val="28"/>
        </w:rPr>
        <w:tab/>
        <w:t>придорожные полосы;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>-</w:t>
      </w:r>
      <w:r w:rsidRPr="00B3341C">
        <w:rPr>
          <w:szCs w:val="28"/>
        </w:rPr>
        <w:tab/>
        <w:t>необрабатываемые земли сельскохозяйственного назначения, земли общей долевой собственности.</w:t>
      </w:r>
    </w:p>
    <w:p w:rsidR="00B3341C" w:rsidRPr="00B3341C" w:rsidRDefault="00B3341C" w:rsidP="00B3341C">
      <w:pPr>
        <w:widowControl w:val="0"/>
        <w:ind w:firstLine="709"/>
        <w:jc w:val="both"/>
        <w:rPr>
          <w:szCs w:val="28"/>
        </w:rPr>
      </w:pPr>
      <w:r w:rsidRPr="00B3341C">
        <w:rPr>
          <w:szCs w:val="28"/>
        </w:rPr>
        <w:t xml:space="preserve">По сравнению с 2019 годом общая площадь выявленных очагов снизилась в истекшем году на 12,9% (на 348,2 га). </w:t>
      </w:r>
      <w:proofErr w:type="gramStart"/>
      <w:r w:rsidRPr="00B3341C">
        <w:rPr>
          <w:szCs w:val="28"/>
        </w:rPr>
        <w:t xml:space="preserve">Снижение выявленных площадей произошло в Ангарском городском округе (на 88,5 га), в Балаганском районе (на 201,3 га), в </w:t>
      </w:r>
      <w:proofErr w:type="spellStart"/>
      <w:r w:rsidRPr="00B3341C">
        <w:rPr>
          <w:szCs w:val="28"/>
        </w:rPr>
        <w:t>Боханском</w:t>
      </w:r>
      <w:proofErr w:type="spellEnd"/>
      <w:r w:rsidRPr="00B3341C">
        <w:rPr>
          <w:szCs w:val="28"/>
        </w:rPr>
        <w:t xml:space="preserve"> районе (на 16,6 га), в Братском районе (на 13,9 га), в </w:t>
      </w:r>
      <w:proofErr w:type="spellStart"/>
      <w:r w:rsidRPr="00B3341C">
        <w:rPr>
          <w:szCs w:val="28"/>
        </w:rPr>
        <w:t>Жигаловском</w:t>
      </w:r>
      <w:proofErr w:type="spellEnd"/>
      <w:r w:rsidRPr="00B3341C">
        <w:rPr>
          <w:szCs w:val="28"/>
        </w:rPr>
        <w:t xml:space="preserve"> районе (на 1,6 га), в </w:t>
      </w:r>
      <w:proofErr w:type="spellStart"/>
      <w:r w:rsidRPr="00B3341C">
        <w:rPr>
          <w:szCs w:val="28"/>
        </w:rPr>
        <w:t>Зиминском</w:t>
      </w:r>
      <w:proofErr w:type="spellEnd"/>
      <w:r w:rsidRPr="00B3341C">
        <w:rPr>
          <w:szCs w:val="28"/>
        </w:rPr>
        <w:t xml:space="preserve"> районе (на 319,7 га), в городе Зима (на 0,2 га), в Иркутском районе (на 39,8 га), в </w:t>
      </w:r>
      <w:proofErr w:type="spellStart"/>
      <w:r w:rsidRPr="00B3341C">
        <w:rPr>
          <w:szCs w:val="28"/>
        </w:rPr>
        <w:t>Качугском</w:t>
      </w:r>
      <w:proofErr w:type="spellEnd"/>
      <w:r w:rsidRPr="00B3341C">
        <w:rPr>
          <w:szCs w:val="28"/>
        </w:rPr>
        <w:t xml:space="preserve"> районе (на 14,7 га), в</w:t>
      </w:r>
      <w:proofErr w:type="gramEnd"/>
      <w:r w:rsidRPr="00B3341C">
        <w:rPr>
          <w:szCs w:val="28"/>
        </w:rPr>
        <w:t xml:space="preserve"> </w:t>
      </w:r>
      <w:proofErr w:type="spellStart"/>
      <w:proofErr w:type="gramStart"/>
      <w:r w:rsidRPr="00B3341C">
        <w:rPr>
          <w:szCs w:val="28"/>
        </w:rPr>
        <w:t>Нукутском</w:t>
      </w:r>
      <w:proofErr w:type="spellEnd"/>
      <w:r w:rsidRPr="00B3341C">
        <w:rPr>
          <w:szCs w:val="28"/>
        </w:rPr>
        <w:t xml:space="preserve"> районе (на 8,6 га), в </w:t>
      </w:r>
      <w:proofErr w:type="spellStart"/>
      <w:r w:rsidRPr="00B3341C">
        <w:rPr>
          <w:szCs w:val="28"/>
        </w:rPr>
        <w:t>Ольхонском</w:t>
      </w:r>
      <w:proofErr w:type="spellEnd"/>
      <w:r w:rsidRPr="00B3341C">
        <w:rPr>
          <w:szCs w:val="28"/>
        </w:rPr>
        <w:t xml:space="preserve"> районе (на 4,1 га), в </w:t>
      </w:r>
      <w:r w:rsidRPr="00B3341C">
        <w:rPr>
          <w:szCs w:val="28"/>
        </w:rPr>
        <w:lastRenderedPageBreak/>
        <w:t xml:space="preserve">городе Свирске (на 0,5 га), в городе Тулуне (на 9,7 га), в </w:t>
      </w:r>
      <w:proofErr w:type="spellStart"/>
      <w:r w:rsidRPr="00B3341C">
        <w:rPr>
          <w:szCs w:val="28"/>
        </w:rPr>
        <w:t>Усольском</w:t>
      </w:r>
      <w:proofErr w:type="spellEnd"/>
      <w:r w:rsidRPr="00B3341C">
        <w:rPr>
          <w:szCs w:val="28"/>
        </w:rPr>
        <w:t xml:space="preserve"> районе (на 22,0 га), в </w:t>
      </w:r>
      <w:proofErr w:type="spellStart"/>
      <w:r w:rsidRPr="00B3341C">
        <w:rPr>
          <w:szCs w:val="28"/>
        </w:rPr>
        <w:t>Усть-Удинском</w:t>
      </w:r>
      <w:proofErr w:type="spellEnd"/>
      <w:r w:rsidRPr="00B3341C">
        <w:rPr>
          <w:szCs w:val="28"/>
        </w:rPr>
        <w:t xml:space="preserve"> районе (на 106,2 га), в Чунском районе (на 0,9 га), в </w:t>
      </w:r>
      <w:proofErr w:type="spellStart"/>
      <w:r w:rsidRPr="00B3341C">
        <w:rPr>
          <w:szCs w:val="28"/>
        </w:rPr>
        <w:t>Эхирит-Булагатском</w:t>
      </w:r>
      <w:proofErr w:type="spellEnd"/>
      <w:r w:rsidRPr="00B3341C">
        <w:rPr>
          <w:szCs w:val="28"/>
        </w:rPr>
        <w:t xml:space="preserve"> районе (на 55,7 га), в </w:t>
      </w:r>
      <w:proofErr w:type="spellStart"/>
      <w:r w:rsidRPr="00B3341C">
        <w:rPr>
          <w:szCs w:val="28"/>
        </w:rPr>
        <w:t>Усть-Кутском</w:t>
      </w:r>
      <w:proofErr w:type="spellEnd"/>
      <w:r w:rsidRPr="00B3341C">
        <w:rPr>
          <w:szCs w:val="28"/>
        </w:rPr>
        <w:t xml:space="preserve"> районе (на 2,0 га).</w:t>
      </w:r>
      <w:proofErr w:type="gramEnd"/>
    </w:p>
    <w:p w:rsidR="00B3341C" w:rsidRPr="00306F9C" w:rsidRDefault="00B3341C" w:rsidP="00B3341C">
      <w:pPr>
        <w:widowControl w:val="0"/>
        <w:ind w:firstLine="709"/>
        <w:jc w:val="both"/>
        <w:rPr>
          <w:szCs w:val="28"/>
        </w:rPr>
      </w:pPr>
      <w:proofErr w:type="gramStart"/>
      <w:r w:rsidRPr="00B3341C">
        <w:rPr>
          <w:szCs w:val="28"/>
        </w:rPr>
        <w:t xml:space="preserve">В 2020 году зафиксировано увеличение выявленных очагов произрастания дикорастущей конопли в </w:t>
      </w:r>
      <w:proofErr w:type="spellStart"/>
      <w:r w:rsidRPr="00B3341C">
        <w:rPr>
          <w:szCs w:val="28"/>
        </w:rPr>
        <w:t>Аларском</w:t>
      </w:r>
      <w:proofErr w:type="spellEnd"/>
      <w:r w:rsidRPr="00B3341C">
        <w:rPr>
          <w:szCs w:val="28"/>
        </w:rPr>
        <w:t xml:space="preserve"> районе (на 337,7 га), в </w:t>
      </w:r>
      <w:proofErr w:type="spellStart"/>
      <w:r w:rsidRPr="00B3341C">
        <w:rPr>
          <w:szCs w:val="28"/>
        </w:rPr>
        <w:t>Баяндаевском</w:t>
      </w:r>
      <w:proofErr w:type="spellEnd"/>
      <w:r w:rsidRPr="00B3341C">
        <w:rPr>
          <w:szCs w:val="28"/>
        </w:rPr>
        <w:t xml:space="preserve"> районе (на 1,3 га), в </w:t>
      </w:r>
      <w:proofErr w:type="spellStart"/>
      <w:r w:rsidRPr="00B3341C">
        <w:rPr>
          <w:szCs w:val="28"/>
        </w:rPr>
        <w:t>Заларинском</w:t>
      </w:r>
      <w:proofErr w:type="spellEnd"/>
      <w:r w:rsidRPr="00B3341C">
        <w:rPr>
          <w:szCs w:val="28"/>
        </w:rPr>
        <w:t xml:space="preserve"> районе (на 50,0 га), в </w:t>
      </w:r>
      <w:proofErr w:type="spellStart"/>
      <w:r w:rsidRPr="00B3341C">
        <w:rPr>
          <w:szCs w:val="28"/>
        </w:rPr>
        <w:t>Казачинско</w:t>
      </w:r>
      <w:proofErr w:type="spellEnd"/>
      <w:r w:rsidRPr="00B3341C">
        <w:rPr>
          <w:szCs w:val="28"/>
        </w:rPr>
        <w:t xml:space="preserve">-Ленском районе (на 0,1 га), в Киренском районе (на 13,5 га), в </w:t>
      </w:r>
      <w:proofErr w:type="spellStart"/>
      <w:r w:rsidRPr="00B3341C">
        <w:rPr>
          <w:szCs w:val="28"/>
        </w:rPr>
        <w:t>Куйтунском</w:t>
      </w:r>
      <w:proofErr w:type="spellEnd"/>
      <w:r w:rsidRPr="00B3341C">
        <w:rPr>
          <w:szCs w:val="28"/>
        </w:rPr>
        <w:t xml:space="preserve"> районе (на 43,9 га), в Нижнеудинском районе (на 24,4 га), в </w:t>
      </w:r>
      <w:proofErr w:type="spellStart"/>
      <w:r w:rsidRPr="00B3341C">
        <w:rPr>
          <w:szCs w:val="28"/>
        </w:rPr>
        <w:t>Осинском</w:t>
      </w:r>
      <w:proofErr w:type="spellEnd"/>
      <w:r w:rsidRPr="00B3341C">
        <w:rPr>
          <w:szCs w:val="28"/>
        </w:rPr>
        <w:t xml:space="preserve"> районе (на 9,0 га), в </w:t>
      </w:r>
      <w:proofErr w:type="spellStart"/>
      <w:r w:rsidRPr="00B3341C">
        <w:rPr>
          <w:szCs w:val="28"/>
        </w:rPr>
        <w:t>Тайшетском</w:t>
      </w:r>
      <w:proofErr w:type="spellEnd"/>
      <w:proofErr w:type="gramEnd"/>
      <w:r w:rsidRPr="00B3341C">
        <w:rPr>
          <w:szCs w:val="28"/>
        </w:rPr>
        <w:t xml:space="preserve"> </w:t>
      </w:r>
      <w:proofErr w:type="gramStart"/>
      <w:r w:rsidRPr="00B3341C">
        <w:rPr>
          <w:szCs w:val="28"/>
        </w:rPr>
        <w:t>районе</w:t>
      </w:r>
      <w:proofErr w:type="gramEnd"/>
      <w:r w:rsidRPr="00B3341C">
        <w:rPr>
          <w:szCs w:val="28"/>
        </w:rPr>
        <w:t xml:space="preserve"> (на 10,1 га), в </w:t>
      </w:r>
      <w:proofErr w:type="spellStart"/>
      <w:r w:rsidRPr="00B3341C">
        <w:rPr>
          <w:szCs w:val="28"/>
        </w:rPr>
        <w:t>Тулунском</w:t>
      </w:r>
      <w:proofErr w:type="spellEnd"/>
      <w:r w:rsidRPr="00B3341C">
        <w:rPr>
          <w:szCs w:val="28"/>
        </w:rPr>
        <w:t xml:space="preserve"> районе (на 51,0 га), в городе Усолье-Сибирское (2,0 га), в Черемховском районе (на 14,7 га).</w:t>
      </w:r>
    </w:p>
    <w:p w:rsidR="00B3341C" w:rsidRPr="00B3341C" w:rsidRDefault="00B3341C" w:rsidP="00B3341C">
      <w:pPr>
        <w:widowControl w:val="0"/>
        <w:jc w:val="both"/>
        <w:rPr>
          <w:szCs w:val="28"/>
          <w:lang w:val="en-US"/>
        </w:rPr>
      </w:pPr>
      <w:r>
        <w:rPr>
          <w:noProof/>
        </w:rPr>
        <w:drawing>
          <wp:inline distT="0" distB="0" distL="0" distR="0" wp14:anchorId="1F048CDE" wp14:editId="0C9CE3F0">
            <wp:extent cx="6120130" cy="1816662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341C" w:rsidRPr="00B3341C" w:rsidRDefault="00B3341C" w:rsidP="00B3341C">
      <w:pPr>
        <w:suppressAutoHyphens/>
        <w:ind w:firstLine="709"/>
        <w:jc w:val="both"/>
        <w:rPr>
          <w:color w:val="000000"/>
          <w:szCs w:val="28"/>
        </w:rPr>
      </w:pPr>
      <w:proofErr w:type="gramStart"/>
      <w:r w:rsidRPr="00B3341C">
        <w:rPr>
          <w:szCs w:val="28"/>
        </w:rPr>
        <w:t xml:space="preserve">Для повышения эффективности деятельности органов местного самоуправления в части противодействия произрастанию </w:t>
      </w:r>
      <w:proofErr w:type="spellStart"/>
      <w:r w:rsidRPr="00B3341C">
        <w:rPr>
          <w:szCs w:val="28"/>
        </w:rPr>
        <w:t>наркосодержащих</w:t>
      </w:r>
      <w:proofErr w:type="spellEnd"/>
      <w:r w:rsidRPr="00B3341C">
        <w:rPr>
          <w:szCs w:val="28"/>
        </w:rPr>
        <w:t xml:space="preserve"> растений аппаратом антинаркотической комиссии в Иркутской области,  Управлением по контролю за оборотом наркотиков ГУ МВД России Иркутской области, министерством сельского хозяйства Иркутской области разработана </w:t>
      </w:r>
      <w:r w:rsidRPr="00B3341C">
        <w:rPr>
          <w:color w:val="000000"/>
          <w:szCs w:val="28"/>
        </w:rPr>
        <w:t xml:space="preserve">инструкция по вопросу организации работы по выявлению и уничтожению очагов произрастания </w:t>
      </w:r>
      <w:proofErr w:type="spellStart"/>
      <w:r w:rsidRPr="00B3341C">
        <w:rPr>
          <w:color w:val="000000"/>
          <w:szCs w:val="28"/>
        </w:rPr>
        <w:t>наркосодержащих</w:t>
      </w:r>
      <w:proofErr w:type="spellEnd"/>
      <w:r w:rsidRPr="00B3341C">
        <w:rPr>
          <w:color w:val="000000"/>
          <w:szCs w:val="28"/>
        </w:rPr>
        <w:t xml:space="preserve"> растений на территории муниципальных образований Иркутской области (в вопросах и ответах).</w:t>
      </w:r>
      <w:proofErr w:type="gramEnd"/>
    </w:p>
    <w:p w:rsidR="0038446B" w:rsidRDefault="0038446B" w:rsidP="0038446B">
      <w:pPr>
        <w:ind w:firstLine="709"/>
        <w:jc w:val="both"/>
        <w:rPr>
          <w:szCs w:val="28"/>
        </w:rPr>
      </w:pPr>
      <w:r w:rsidRPr="0038446B">
        <w:rPr>
          <w:szCs w:val="28"/>
        </w:rPr>
        <w:t>В 2020 году</w:t>
      </w:r>
      <w:r w:rsidRPr="008364CA">
        <w:rPr>
          <w:szCs w:val="28"/>
        </w:rPr>
        <w:t xml:space="preserve"> </w:t>
      </w:r>
      <w:r>
        <w:rPr>
          <w:szCs w:val="28"/>
        </w:rPr>
        <w:t>н</w:t>
      </w:r>
      <w:r w:rsidRPr="008364CA">
        <w:rPr>
          <w:szCs w:val="28"/>
        </w:rPr>
        <w:t xml:space="preserve">а реализацию мероприятий подпрограммы «Комплексные меры профилактики злоупотребления наркотическими средствами, токсическими и психотропными веществами» на 2019 - 2024 годы государственной программы Иркутской области «Молодежная политика» на 2019-2024 годы на уничтожение очагов произрастания дикорастущей конопли выделено </w:t>
      </w:r>
      <w:r w:rsidRPr="0038446B">
        <w:rPr>
          <w:szCs w:val="28"/>
        </w:rPr>
        <w:t>922,5 тыс. рублей</w:t>
      </w:r>
      <w:r w:rsidRPr="008364CA">
        <w:rPr>
          <w:szCs w:val="28"/>
        </w:rPr>
        <w:t xml:space="preserve"> из средств областного бюджета. </w:t>
      </w:r>
    </w:p>
    <w:p w:rsidR="0038446B" w:rsidRPr="0038446B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 xml:space="preserve">Министерством сельского хозяйства Иркутской области 25 мая 2020 года заключен государственный контракт на поставку </w:t>
      </w:r>
      <w:r w:rsidRPr="0038446B">
        <w:rPr>
          <w:szCs w:val="28"/>
        </w:rPr>
        <w:t xml:space="preserve">2080 литров </w:t>
      </w:r>
      <w:r w:rsidRPr="008364CA">
        <w:rPr>
          <w:szCs w:val="28"/>
        </w:rPr>
        <w:t xml:space="preserve">средств химической защиты растений, на общую сумму </w:t>
      </w:r>
      <w:r w:rsidRPr="0038446B">
        <w:rPr>
          <w:szCs w:val="28"/>
        </w:rPr>
        <w:t>921,4 тыс. рублей.</w:t>
      </w:r>
    </w:p>
    <w:p w:rsidR="0038446B" w:rsidRPr="0038446B" w:rsidRDefault="0038446B" w:rsidP="0038446B">
      <w:pPr>
        <w:ind w:firstLine="709"/>
        <w:jc w:val="both"/>
        <w:rPr>
          <w:szCs w:val="28"/>
        </w:rPr>
      </w:pPr>
      <w:proofErr w:type="gramStart"/>
      <w:r w:rsidRPr="008364CA">
        <w:rPr>
          <w:szCs w:val="28"/>
        </w:rPr>
        <w:t xml:space="preserve">На основании Порядка приобретения и распределения средств химической защиты растений в муниципальные образования Иркутской области для уничтожения очагов произрастания дикорастущей конопли, утвержденного приказом министерства сельского хозяйства Иркутской области от 20 сентября 2017 года № 114-мпр, в соответствии с Протоколом заседания межведомственной рабочей группы по распределению средств химической защиты растений, принято решение о передаче гербицидов для уничтожения </w:t>
      </w:r>
      <w:r w:rsidRPr="008364CA">
        <w:rPr>
          <w:szCs w:val="28"/>
        </w:rPr>
        <w:lastRenderedPageBreak/>
        <w:t>очагов произрастания дикорастущей конопли приобретенных</w:t>
      </w:r>
      <w:proofErr w:type="gramEnd"/>
      <w:r w:rsidRPr="008364CA">
        <w:rPr>
          <w:szCs w:val="28"/>
        </w:rPr>
        <w:t xml:space="preserve"> </w:t>
      </w:r>
      <w:r w:rsidRPr="0038446B">
        <w:rPr>
          <w:szCs w:val="28"/>
        </w:rPr>
        <w:t>в 2020 году в объеме 2080 литров в следующие муниципальные образования: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1. Иркутское районное муниципальное образование – 480 литров;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 xml:space="preserve">2. </w:t>
      </w:r>
      <w:proofErr w:type="spellStart"/>
      <w:r w:rsidRPr="008364CA">
        <w:rPr>
          <w:szCs w:val="28"/>
        </w:rPr>
        <w:t>Зиминское</w:t>
      </w:r>
      <w:proofErr w:type="spellEnd"/>
      <w:r w:rsidRPr="008364CA">
        <w:rPr>
          <w:szCs w:val="28"/>
        </w:rPr>
        <w:t xml:space="preserve"> районное муниципальное образование – 1110 литров;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3. муниципальное образование «</w:t>
      </w:r>
      <w:proofErr w:type="spellStart"/>
      <w:r w:rsidRPr="008364CA">
        <w:rPr>
          <w:szCs w:val="28"/>
        </w:rPr>
        <w:t>Тулунский</w:t>
      </w:r>
      <w:proofErr w:type="spellEnd"/>
      <w:r w:rsidRPr="008364CA">
        <w:rPr>
          <w:szCs w:val="28"/>
        </w:rPr>
        <w:t xml:space="preserve"> район» - 190 литров;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4. муниципальное образование «Аларский район» - 300 литров.</w:t>
      </w:r>
    </w:p>
    <w:p w:rsidR="0038446B" w:rsidRPr="0038446B" w:rsidRDefault="0038446B" w:rsidP="0038446B">
      <w:pPr>
        <w:ind w:firstLine="709"/>
        <w:jc w:val="both"/>
        <w:rPr>
          <w:szCs w:val="28"/>
        </w:rPr>
      </w:pPr>
      <w:r w:rsidRPr="0038446B">
        <w:rPr>
          <w:szCs w:val="28"/>
        </w:rPr>
        <w:t>Гербициды в объеме 1540 литров приобретенные в 2019 году переданы в следующие муниципальные образования: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1. муниципальное образование «Ангарский городской округ» - 950 литров;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 xml:space="preserve">2. </w:t>
      </w:r>
      <w:proofErr w:type="spellStart"/>
      <w:r w:rsidRPr="008364CA">
        <w:rPr>
          <w:szCs w:val="28"/>
        </w:rPr>
        <w:t>Усольское</w:t>
      </w:r>
      <w:proofErr w:type="spellEnd"/>
      <w:r w:rsidRPr="008364CA">
        <w:rPr>
          <w:szCs w:val="28"/>
        </w:rPr>
        <w:t xml:space="preserve"> районное муниципальное образование – 75 литров;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3. муниципальное образование «</w:t>
      </w:r>
      <w:proofErr w:type="spellStart"/>
      <w:r w:rsidRPr="008364CA">
        <w:rPr>
          <w:szCs w:val="28"/>
        </w:rPr>
        <w:t>Балаганский</w:t>
      </w:r>
      <w:proofErr w:type="spellEnd"/>
      <w:r w:rsidRPr="008364CA">
        <w:rPr>
          <w:szCs w:val="28"/>
        </w:rPr>
        <w:t xml:space="preserve"> район» - 515 литров.</w:t>
      </w:r>
    </w:p>
    <w:p w:rsidR="0038446B" w:rsidRPr="0038446B" w:rsidRDefault="0038446B" w:rsidP="0038446B">
      <w:pPr>
        <w:ind w:firstLine="709"/>
        <w:jc w:val="both"/>
        <w:rPr>
          <w:szCs w:val="28"/>
        </w:rPr>
      </w:pPr>
      <w:r w:rsidRPr="0038446B">
        <w:rPr>
          <w:szCs w:val="28"/>
        </w:rPr>
        <w:t>В 2020 году общее количество гербицидов, переданных в муниципальные образования Иркутской области, составило 3620 литров.</w:t>
      </w:r>
    </w:p>
    <w:p w:rsidR="0038446B" w:rsidRPr="0038446B" w:rsidRDefault="0038446B" w:rsidP="0038446B">
      <w:pPr>
        <w:ind w:firstLine="709"/>
        <w:jc w:val="both"/>
        <w:rPr>
          <w:szCs w:val="28"/>
        </w:rPr>
      </w:pPr>
      <w:r w:rsidRPr="0038446B">
        <w:rPr>
          <w:szCs w:val="28"/>
        </w:rPr>
        <w:t>Министерство сельского хозяйства Иркутской области передало муниципальным образованиям весь объем средств химической защиты растений до 4 июня текущего года.</w:t>
      </w:r>
    </w:p>
    <w:p w:rsidR="0038446B" w:rsidRPr="0038446B" w:rsidRDefault="0038446B" w:rsidP="0038446B">
      <w:pPr>
        <w:ind w:firstLine="709"/>
        <w:jc w:val="both"/>
        <w:rPr>
          <w:szCs w:val="28"/>
        </w:rPr>
      </w:pPr>
      <w:r w:rsidRPr="0038446B">
        <w:rPr>
          <w:szCs w:val="28"/>
        </w:rPr>
        <w:t>Общая площадь уничтоженной дикорастущей конопли химическим способом составила 660,44 га, использовано 2728 литров гербицида.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По результатам проведения работ по уничтожению выявленных очагов произрастания дикорастущей конопли составлены Акты выполненных работ с привлечением специалистов муниципальных образований, сотрудников ГУ МВД России по Иркутской области и министерства сельского хозяйства Иркутской области.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proofErr w:type="gramStart"/>
      <w:r w:rsidRPr="008364CA">
        <w:rPr>
          <w:szCs w:val="28"/>
        </w:rPr>
        <w:t xml:space="preserve">В 2020 году во взаимодействии с аппаратом антинаркотической комиссии Иркутской области, Управлением по контролю за оборотом наркотиков Главного управления Министерства внутренних дел Российской Федерации по Иркутской области, министерством сельского хозяйства Иркутской области, проведены контрольные выезды в 7 районных муниципальных образований области (Ангарский, Иркутский, </w:t>
      </w:r>
      <w:proofErr w:type="spellStart"/>
      <w:r w:rsidRPr="008364CA">
        <w:rPr>
          <w:szCs w:val="28"/>
        </w:rPr>
        <w:t>Усольский</w:t>
      </w:r>
      <w:proofErr w:type="spellEnd"/>
      <w:r w:rsidRPr="008364CA">
        <w:rPr>
          <w:szCs w:val="28"/>
        </w:rPr>
        <w:t xml:space="preserve">, </w:t>
      </w:r>
      <w:proofErr w:type="spellStart"/>
      <w:r w:rsidRPr="008364CA">
        <w:rPr>
          <w:szCs w:val="28"/>
        </w:rPr>
        <w:t>Тулунский</w:t>
      </w:r>
      <w:proofErr w:type="spellEnd"/>
      <w:r w:rsidRPr="008364CA">
        <w:rPr>
          <w:szCs w:val="28"/>
        </w:rPr>
        <w:t xml:space="preserve">, </w:t>
      </w:r>
      <w:proofErr w:type="spellStart"/>
      <w:r w:rsidRPr="008364CA">
        <w:rPr>
          <w:szCs w:val="28"/>
        </w:rPr>
        <w:t>Балаганский</w:t>
      </w:r>
      <w:proofErr w:type="spellEnd"/>
      <w:r w:rsidRPr="008364CA">
        <w:rPr>
          <w:szCs w:val="28"/>
        </w:rPr>
        <w:t xml:space="preserve">, </w:t>
      </w:r>
      <w:proofErr w:type="spellStart"/>
      <w:r w:rsidRPr="008364CA">
        <w:rPr>
          <w:szCs w:val="28"/>
        </w:rPr>
        <w:t>Куйтунский</w:t>
      </w:r>
      <w:proofErr w:type="spellEnd"/>
      <w:r w:rsidRPr="008364CA">
        <w:rPr>
          <w:szCs w:val="28"/>
        </w:rPr>
        <w:t>, Аларский районы) с целью оценки качества работ по выявлению и уничтожению дикорастущей конопли.</w:t>
      </w:r>
      <w:proofErr w:type="gramEnd"/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В 2020 году осталось неуничтоженных очагов дикорастущей конопли на площади 171,2 га (145% к уровню 2019 года), из них: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в муниципальном образовании «Заларинский район» - 110 га;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в Иркутском районном муниципальном образовании - 35,7 га;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в муниципальном образовании «</w:t>
      </w:r>
      <w:proofErr w:type="spellStart"/>
      <w:r w:rsidRPr="008364CA">
        <w:rPr>
          <w:szCs w:val="28"/>
        </w:rPr>
        <w:t>Нукутский</w:t>
      </w:r>
      <w:proofErr w:type="spellEnd"/>
      <w:r w:rsidRPr="008364CA">
        <w:rPr>
          <w:szCs w:val="28"/>
        </w:rPr>
        <w:t xml:space="preserve"> район» - 17 га;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в районном муниципальном образовании «</w:t>
      </w:r>
      <w:proofErr w:type="spellStart"/>
      <w:r w:rsidRPr="008364CA">
        <w:rPr>
          <w:szCs w:val="28"/>
        </w:rPr>
        <w:t>Усть-Удинский</w:t>
      </w:r>
      <w:proofErr w:type="spellEnd"/>
      <w:r w:rsidRPr="008364CA">
        <w:rPr>
          <w:szCs w:val="28"/>
        </w:rPr>
        <w:t xml:space="preserve"> район» - 8,5 га.</w:t>
      </w:r>
    </w:p>
    <w:p w:rsidR="0038446B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Данные очаги остаются потенциальными местами для совершения уголовных преступлений.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 xml:space="preserve">В рамках реализации мероприятий государственной программы «Развитие сельского хозяйства и регулирование рынков сельскохозяйственной продукции, сырья и продовольствия на 2014–2020 годы» министерством сельского хозяйства Иркутской области предусмотрены субсидии для сельскохозяйственных товаропроизводителей на проведение кадастровых работ </w:t>
      </w:r>
      <w:r w:rsidRPr="008364CA">
        <w:rPr>
          <w:szCs w:val="28"/>
        </w:rPr>
        <w:lastRenderedPageBreak/>
        <w:t>при оформлении в собственность (аренду) используемых ими земельных участков и на ввод в оборот неиспользуемой пашни.</w:t>
      </w:r>
    </w:p>
    <w:p w:rsidR="0038446B" w:rsidRPr="008364CA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>В 2020 году сельскохозяйственные товаропроизводители оформили право собственности (аренды) на земельные участки из состава земель сельскохозяйственного назначения на общую площадь 3,2 тыс. га.</w:t>
      </w:r>
    </w:p>
    <w:p w:rsidR="0038446B" w:rsidRPr="00D24FFC" w:rsidRDefault="0038446B" w:rsidP="0038446B">
      <w:pPr>
        <w:ind w:firstLine="709"/>
        <w:jc w:val="both"/>
        <w:rPr>
          <w:szCs w:val="28"/>
        </w:rPr>
      </w:pPr>
      <w:r w:rsidRPr="008364CA">
        <w:rPr>
          <w:szCs w:val="28"/>
        </w:rPr>
        <w:t xml:space="preserve">Одним из самых действенных мероприятий по сокращению объема заброшенных земель является предоставление субсидии на проведение </w:t>
      </w:r>
      <w:proofErr w:type="spellStart"/>
      <w:r w:rsidRPr="008364CA">
        <w:rPr>
          <w:szCs w:val="28"/>
        </w:rPr>
        <w:t>культуртехнической</w:t>
      </w:r>
      <w:proofErr w:type="spellEnd"/>
      <w:r w:rsidRPr="008364CA">
        <w:rPr>
          <w:szCs w:val="28"/>
        </w:rPr>
        <w:t xml:space="preserve"> мелиорации земель сельскохозяйственного назначения за счет средств </w:t>
      </w:r>
      <w:r>
        <w:rPr>
          <w:szCs w:val="28"/>
        </w:rPr>
        <w:t xml:space="preserve">федерального и </w:t>
      </w:r>
      <w:r w:rsidRPr="008364CA">
        <w:rPr>
          <w:szCs w:val="28"/>
        </w:rPr>
        <w:t>областного бюджета, что позволило в текущем году ввести в оборот 22,9 тыс. га неиспользуемой пашни.</w:t>
      </w:r>
    </w:p>
    <w:p w:rsidR="003B656A" w:rsidRDefault="0038446B" w:rsidP="002B2658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C628D5">
        <w:rPr>
          <w:szCs w:val="28"/>
        </w:rPr>
        <w:t xml:space="preserve"> 2021 году </w:t>
      </w:r>
      <w:r>
        <w:rPr>
          <w:szCs w:val="28"/>
        </w:rPr>
        <w:t>н</w:t>
      </w:r>
      <w:r w:rsidR="002B2658" w:rsidRPr="00C628D5">
        <w:rPr>
          <w:szCs w:val="28"/>
        </w:rPr>
        <w:t xml:space="preserve">а реализацию мероприятий подпрограммы «Комплексные меры профилактики злоупотребления наркотическими средствами, токсическими и психотропными веществами» на 2019 - 2024 годы государственной программы Иркутской области «Молодежная политика» на 2019-2024 годы на уничтожение очагов произрастания дикорастущей конопли выделено </w:t>
      </w:r>
      <w:r w:rsidR="00765F8F" w:rsidRPr="00C628D5">
        <w:rPr>
          <w:szCs w:val="28"/>
        </w:rPr>
        <w:t>784,1</w:t>
      </w:r>
      <w:r w:rsidR="002B2658" w:rsidRPr="00C628D5">
        <w:rPr>
          <w:szCs w:val="28"/>
        </w:rPr>
        <w:t xml:space="preserve"> тыс. рублей из средств областного бюджета</w:t>
      </w:r>
      <w:r w:rsidR="0076119D">
        <w:rPr>
          <w:szCs w:val="28"/>
        </w:rPr>
        <w:t>.</w:t>
      </w:r>
      <w:r w:rsidR="00D24FFC">
        <w:rPr>
          <w:szCs w:val="28"/>
        </w:rPr>
        <w:t xml:space="preserve"> </w:t>
      </w:r>
      <w:r w:rsidR="003B656A">
        <w:rPr>
          <w:szCs w:val="28"/>
        </w:rPr>
        <w:t>Средства областного бюджета выделяются на уничтожение дикорастущей конопли н</w:t>
      </w:r>
      <w:r w:rsidR="00826CF5">
        <w:rPr>
          <w:szCs w:val="28"/>
        </w:rPr>
        <w:t>а</w:t>
      </w:r>
      <w:r w:rsidR="003B656A">
        <w:rPr>
          <w:szCs w:val="28"/>
        </w:rPr>
        <w:t xml:space="preserve"> земельных участках</w:t>
      </w:r>
      <w:r w:rsidR="000001FB">
        <w:rPr>
          <w:szCs w:val="28"/>
        </w:rPr>
        <w:t>,</w:t>
      </w:r>
      <w:r w:rsidR="003B656A">
        <w:rPr>
          <w:szCs w:val="28"/>
        </w:rPr>
        <w:t xml:space="preserve"> собственность на которые не разграничена.</w:t>
      </w:r>
    </w:p>
    <w:p w:rsidR="00AC2E58" w:rsidRDefault="00603E53" w:rsidP="00603E53">
      <w:pPr>
        <w:ind w:firstLine="709"/>
        <w:jc w:val="both"/>
        <w:rPr>
          <w:szCs w:val="28"/>
        </w:rPr>
      </w:pPr>
      <w:r w:rsidRPr="00603E53">
        <w:rPr>
          <w:szCs w:val="28"/>
        </w:rPr>
        <w:t>Министерством по регулированию контрактной системы в сфере закупок Иркутской области протоколом подведения итогов электронного аукциона на право заключения контракта на поставку средств химической защиты растений для уничтожения очагов произрастания дикорастущей конопли от 1</w:t>
      </w:r>
      <w:r w:rsidR="002D3241">
        <w:rPr>
          <w:szCs w:val="28"/>
        </w:rPr>
        <w:t>1</w:t>
      </w:r>
      <w:r w:rsidRPr="00603E53">
        <w:rPr>
          <w:szCs w:val="28"/>
        </w:rPr>
        <w:t xml:space="preserve"> мая 202</w:t>
      </w:r>
      <w:r w:rsidR="002D3241">
        <w:rPr>
          <w:szCs w:val="28"/>
        </w:rPr>
        <w:t>1</w:t>
      </w:r>
      <w:r w:rsidRPr="00603E53">
        <w:rPr>
          <w:szCs w:val="28"/>
        </w:rPr>
        <w:t xml:space="preserve"> года победителем признано </w:t>
      </w:r>
      <w:r w:rsidR="002D3241">
        <w:rPr>
          <w:szCs w:val="28"/>
        </w:rPr>
        <w:t xml:space="preserve">АО «Щелково </w:t>
      </w:r>
      <w:proofErr w:type="spellStart"/>
      <w:r w:rsidR="002D3241">
        <w:rPr>
          <w:szCs w:val="28"/>
        </w:rPr>
        <w:t>Агрохим</w:t>
      </w:r>
      <w:proofErr w:type="spellEnd"/>
      <w:r w:rsidR="002D3241">
        <w:rPr>
          <w:szCs w:val="28"/>
        </w:rPr>
        <w:t>»</w:t>
      </w:r>
      <w:r w:rsidRPr="00603E53">
        <w:rPr>
          <w:szCs w:val="28"/>
        </w:rPr>
        <w:t xml:space="preserve"> г. </w:t>
      </w:r>
      <w:r w:rsidR="002D3241">
        <w:rPr>
          <w:szCs w:val="28"/>
        </w:rPr>
        <w:t>Щелково Московская область</w:t>
      </w:r>
      <w:r w:rsidRPr="00603E53">
        <w:rPr>
          <w:szCs w:val="28"/>
        </w:rPr>
        <w:t>. Цена товара за 1 литр снизилась на 3</w:t>
      </w:r>
      <w:r w:rsidR="002D3241">
        <w:rPr>
          <w:szCs w:val="28"/>
        </w:rPr>
        <w:t>5</w:t>
      </w:r>
      <w:r w:rsidRPr="00603E53">
        <w:rPr>
          <w:szCs w:val="28"/>
        </w:rPr>
        <w:t xml:space="preserve">% и составила </w:t>
      </w:r>
      <w:r w:rsidR="002D3241">
        <w:rPr>
          <w:szCs w:val="28"/>
        </w:rPr>
        <w:t>466,26</w:t>
      </w:r>
      <w:r w:rsidRPr="00603E53">
        <w:rPr>
          <w:szCs w:val="28"/>
        </w:rPr>
        <w:t xml:space="preserve"> рублей. Общий объем поставки товара составит </w:t>
      </w:r>
      <w:r w:rsidR="00AC2E58">
        <w:rPr>
          <w:szCs w:val="28"/>
        </w:rPr>
        <w:t>1670</w:t>
      </w:r>
      <w:r w:rsidRPr="00603E53">
        <w:rPr>
          <w:szCs w:val="28"/>
        </w:rPr>
        <w:t xml:space="preserve"> литров, первоначально заявленный объем – 1</w:t>
      </w:r>
      <w:r w:rsidR="00AC2E58">
        <w:rPr>
          <w:szCs w:val="28"/>
        </w:rPr>
        <w:t>090</w:t>
      </w:r>
      <w:r w:rsidRPr="00603E53">
        <w:rPr>
          <w:szCs w:val="28"/>
        </w:rPr>
        <w:t xml:space="preserve"> литров (средство химической защиты растений «</w:t>
      </w:r>
      <w:r w:rsidR="00AC2E58">
        <w:rPr>
          <w:szCs w:val="28"/>
        </w:rPr>
        <w:t xml:space="preserve">Спрут </w:t>
      </w:r>
      <w:proofErr w:type="spellStart"/>
      <w:r w:rsidR="00AC2E58">
        <w:rPr>
          <w:szCs w:val="28"/>
        </w:rPr>
        <w:t>Экста</w:t>
      </w:r>
      <w:proofErr w:type="spellEnd"/>
      <w:r w:rsidR="00AC2E58">
        <w:rPr>
          <w:szCs w:val="28"/>
        </w:rPr>
        <w:t xml:space="preserve"> ВР</w:t>
      </w:r>
      <w:r w:rsidRPr="00603E53">
        <w:rPr>
          <w:szCs w:val="28"/>
        </w:rPr>
        <w:t xml:space="preserve">», действующее вещество – </w:t>
      </w:r>
      <w:proofErr w:type="spellStart"/>
      <w:r w:rsidRPr="00603E53">
        <w:rPr>
          <w:szCs w:val="28"/>
        </w:rPr>
        <w:t>глифосат</w:t>
      </w:r>
      <w:proofErr w:type="spellEnd"/>
      <w:r w:rsidRPr="00603E53">
        <w:rPr>
          <w:szCs w:val="28"/>
        </w:rPr>
        <w:t xml:space="preserve"> (</w:t>
      </w:r>
      <w:r w:rsidR="00AC2E58">
        <w:rPr>
          <w:szCs w:val="28"/>
        </w:rPr>
        <w:t xml:space="preserve">калийная </w:t>
      </w:r>
      <w:r w:rsidRPr="00603E53">
        <w:rPr>
          <w:szCs w:val="28"/>
        </w:rPr>
        <w:t>соль), концентрация действующего вещества 5</w:t>
      </w:r>
      <w:r w:rsidR="00AC2E58">
        <w:rPr>
          <w:szCs w:val="28"/>
        </w:rPr>
        <w:t>4</w:t>
      </w:r>
      <w:r w:rsidRPr="00603E53">
        <w:rPr>
          <w:szCs w:val="28"/>
        </w:rPr>
        <w:t xml:space="preserve">0 г/л </w:t>
      </w:r>
      <w:proofErr w:type="spellStart"/>
      <w:r w:rsidRPr="00603E53">
        <w:rPr>
          <w:szCs w:val="28"/>
        </w:rPr>
        <w:t>глифосата</w:t>
      </w:r>
      <w:proofErr w:type="spellEnd"/>
      <w:r w:rsidRPr="00603E53">
        <w:rPr>
          <w:szCs w:val="28"/>
        </w:rPr>
        <w:t xml:space="preserve"> кислоты, </w:t>
      </w:r>
      <w:r w:rsidR="000E75C0">
        <w:rPr>
          <w:szCs w:val="28"/>
        </w:rPr>
        <w:t xml:space="preserve">норма расхода препарата 3 литра на гектар, </w:t>
      </w:r>
      <w:r w:rsidRPr="00603E53">
        <w:rPr>
          <w:szCs w:val="28"/>
        </w:rPr>
        <w:t xml:space="preserve">производитель действующего вещества </w:t>
      </w:r>
      <w:r w:rsidR="00AC2E58">
        <w:rPr>
          <w:szCs w:val="28"/>
        </w:rPr>
        <w:t xml:space="preserve">АО «Щелково </w:t>
      </w:r>
      <w:proofErr w:type="spellStart"/>
      <w:r w:rsidR="00AC2E58">
        <w:rPr>
          <w:szCs w:val="28"/>
        </w:rPr>
        <w:t>Агрохим</w:t>
      </w:r>
      <w:proofErr w:type="spellEnd"/>
      <w:r w:rsidR="00AC2E58">
        <w:rPr>
          <w:szCs w:val="28"/>
        </w:rPr>
        <w:t>»</w:t>
      </w:r>
      <w:r w:rsidR="00AC2E58" w:rsidRPr="00603E53">
        <w:rPr>
          <w:szCs w:val="28"/>
        </w:rPr>
        <w:t xml:space="preserve"> </w:t>
      </w:r>
      <w:r w:rsidRPr="00603E53">
        <w:rPr>
          <w:szCs w:val="28"/>
        </w:rPr>
        <w:t>Россия).</w:t>
      </w:r>
    </w:p>
    <w:p w:rsidR="00603E53" w:rsidRPr="00AC2E58" w:rsidRDefault="00603E53" w:rsidP="00603E53">
      <w:pPr>
        <w:ind w:firstLine="709"/>
        <w:jc w:val="both"/>
        <w:rPr>
          <w:szCs w:val="28"/>
        </w:rPr>
      </w:pPr>
      <w:r w:rsidRPr="00603E53">
        <w:rPr>
          <w:szCs w:val="28"/>
        </w:rPr>
        <w:t>Общая стоимость по контракту состави</w:t>
      </w:r>
      <w:r w:rsidR="0076119D">
        <w:rPr>
          <w:szCs w:val="28"/>
        </w:rPr>
        <w:t xml:space="preserve">ла </w:t>
      </w:r>
      <w:r w:rsidR="00AC2E58">
        <w:rPr>
          <w:szCs w:val="28"/>
        </w:rPr>
        <w:t>7</w:t>
      </w:r>
      <w:r w:rsidR="00C628D5">
        <w:rPr>
          <w:szCs w:val="28"/>
        </w:rPr>
        <w:t>786</w:t>
      </w:r>
      <w:r w:rsidR="00950B6C">
        <w:rPr>
          <w:szCs w:val="28"/>
        </w:rPr>
        <w:t>54,2</w:t>
      </w:r>
      <w:r w:rsidRPr="00603E53">
        <w:rPr>
          <w:szCs w:val="28"/>
        </w:rPr>
        <w:t xml:space="preserve"> рублей</w:t>
      </w:r>
      <w:r w:rsidR="000E75C0">
        <w:rPr>
          <w:szCs w:val="28"/>
        </w:rPr>
        <w:t xml:space="preserve"> </w:t>
      </w:r>
      <w:r w:rsidR="000E75C0" w:rsidRPr="00AC2E58">
        <w:rPr>
          <w:szCs w:val="28"/>
        </w:rPr>
        <w:t xml:space="preserve">(экономия – </w:t>
      </w:r>
      <w:r w:rsidR="00C628D5">
        <w:rPr>
          <w:szCs w:val="28"/>
        </w:rPr>
        <w:t>54</w:t>
      </w:r>
      <w:r w:rsidR="00950B6C">
        <w:rPr>
          <w:szCs w:val="28"/>
        </w:rPr>
        <w:t xml:space="preserve">45,8 </w:t>
      </w:r>
      <w:r w:rsidR="000E75C0" w:rsidRPr="00AC2E58">
        <w:rPr>
          <w:szCs w:val="28"/>
        </w:rPr>
        <w:t>рублей).</w:t>
      </w:r>
    </w:p>
    <w:p w:rsidR="00603E53" w:rsidRPr="00603E53" w:rsidRDefault="0076119D" w:rsidP="00603E53">
      <w:pPr>
        <w:ind w:firstLine="709"/>
        <w:jc w:val="both"/>
        <w:rPr>
          <w:szCs w:val="28"/>
        </w:rPr>
      </w:pPr>
      <w:r w:rsidRPr="00603E53">
        <w:rPr>
          <w:szCs w:val="28"/>
        </w:rPr>
        <w:t xml:space="preserve">Государственный контракт </w:t>
      </w:r>
      <w:r>
        <w:rPr>
          <w:szCs w:val="28"/>
        </w:rPr>
        <w:t xml:space="preserve">№Ф.2021.001689 </w:t>
      </w:r>
      <w:r w:rsidRPr="00603E53">
        <w:rPr>
          <w:szCs w:val="28"/>
        </w:rPr>
        <w:t xml:space="preserve">на поставку средств химической защиты растений для уничтожения очагов произрастания дикорастущей конопли с </w:t>
      </w:r>
      <w:r>
        <w:rPr>
          <w:szCs w:val="28"/>
        </w:rPr>
        <w:t xml:space="preserve">АО «Щелково </w:t>
      </w:r>
      <w:proofErr w:type="spellStart"/>
      <w:r>
        <w:rPr>
          <w:szCs w:val="28"/>
        </w:rPr>
        <w:t>Агрохим</w:t>
      </w:r>
      <w:proofErr w:type="spellEnd"/>
      <w:r>
        <w:rPr>
          <w:szCs w:val="28"/>
        </w:rPr>
        <w:t>»</w:t>
      </w:r>
      <w:r w:rsidRPr="00603E53">
        <w:rPr>
          <w:szCs w:val="28"/>
        </w:rPr>
        <w:t xml:space="preserve"> заключен  2</w:t>
      </w:r>
      <w:r>
        <w:rPr>
          <w:szCs w:val="28"/>
        </w:rPr>
        <w:t>4</w:t>
      </w:r>
      <w:r w:rsidRPr="00603E53">
        <w:rPr>
          <w:szCs w:val="28"/>
        </w:rPr>
        <w:t xml:space="preserve"> мая 202</w:t>
      </w:r>
      <w:r>
        <w:rPr>
          <w:szCs w:val="28"/>
        </w:rPr>
        <w:t>1</w:t>
      </w:r>
      <w:r w:rsidRPr="00603E53">
        <w:rPr>
          <w:szCs w:val="28"/>
        </w:rPr>
        <w:t xml:space="preserve"> года.</w:t>
      </w:r>
      <w:r>
        <w:rPr>
          <w:szCs w:val="28"/>
        </w:rPr>
        <w:t xml:space="preserve"> </w:t>
      </w:r>
      <w:r w:rsidR="00603E53" w:rsidRPr="00603E53">
        <w:rPr>
          <w:szCs w:val="28"/>
        </w:rPr>
        <w:t>На основании Протокола заседания межведомственной рабочей группы по распределению средств химической защиты растений от 2</w:t>
      </w:r>
      <w:r w:rsidR="00D34E30">
        <w:rPr>
          <w:szCs w:val="28"/>
        </w:rPr>
        <w:t>5</w:t>
      </w:r>
      <w:r w:rsidR="00603E53" w:rsidRPr="00603E53">
        <w:rPr>
          <w:szCs w:val="28"/>
        </w:rPr>
        <w:t xml:space="preserve"> марта 202</w:t>
      </w:r>
      <w:r w:rsidR="00D34E30">
        <w:rPr>
          <w:szCs w:val="28"/>
        </w:rPr>
        <w:t>1</w:t>
      </w:r>
      <w:r w:rsidR="00603E53" w:rsidRPr="00603E53">
        <w:rPr>
          <w:szCs w:val="28"/>
        </w:rPr>
        <w:t xml:space="preserve"> года средства химической защиты растений </w:t>
      </w:r>
      <w:r w:rsidR="00293E59">
        <w:rPr>
          <w:szCs w:val="28"/>
        </w:rPr>
        <w:t>гербицид</w:t>
      </w:r>
      <w:r w:rsidR="00603E53" w:rsidRPr="00603E53">
        <w:rPr>
          <w:szCs w:val="28"/>
        </w:rPr>
        <w:t xml:space="preserve"> «</w:t>
      </w:r>
      <w:r w:rsidR="00C628D5">
        <w:rPr>
          <w:szCs w:val="28"/>
        </w:rPr>
        <w:t>Спрут Э</w:t>
      </w:r>
      <w:r w:rsidR="006A5DDD">
        <w:rPr>
          <w:szCs w:val="28"/>
        </w:rPr>
        <w:t>к</w:t>
      </w:r>
      <w:r w:rsidR="00C628D5">
        <w:rPr>
          <w:szCs w:val="28"/>
        </w:rPr>
        <w:t>стра ВР</w:t>
      </w:r>
      <w:r w:rsidR="00603E53" w:rsidRPr="00603E53">
        <w:rPr>
          <w:szCs w:val="28"/>
        </w:rPr>
        <w:t>»</w:t>
      </w:r>
      <w:r w:rsidR="00293E59">
        <w:rPr>
          <w:szCs w:val="28"/>
        </w:rPr>
        <w:t>,</w:t>
      </w:r>
      <w:r w:rsidR="00603E53" w:rsidRPr="00603E53">
        <w:rPr>
          <w:szCs w:val="28"/>
        </w:rPr>
        <w:t xml:space="preserve"> </w:t>
      </w:r>
      <w:r w:rsidR="00CB096B" w:rsidRPr="0076119D">
        <w:rPr>
          <w:szCs w:val="28"/>
        </w:rPr>
        <w:t>(</w:t>
      </w:r>
      <w:r w:rsidR="00C628D5" w:rsidRPr="0076119D">
        <w:rPr>
          <w:szCs w:val="28"/>
        </w:rPr>
        <w:t>1670</w:t>
      </w:r>
      <w:r w:rsidR="00CB096B" w:rsidRPr="0076119D">
        <w:rPr>
          <w:szCs w:val="28"/>
        </w:rPr>
        <w:t xml:space="preserve"> литров на </w:t>
      </w:r>
      <w:r w:rsidR="00C628D5" w:rsidRPr="0076119D">
        <w:rPr>
          <w:szCs w:val="28"/>
        </w:rPr>
        <w:t>556,7</w:t>
      </w:r>
      <w:r w:rsidR="00CB096B" w:rsidRPr="0076119D">
        <w:rPr>
          <w:szCs w:val="28"/>
        </w:rPr>
        <w:t xml:space="preserve"> га) </w:t>
      </w:r>
      <w:r w:rsidR="00603E53" w:rsidRPr="00603E53">
        <w:rPr>
          <w:szCs w:val="28"/>
        </w:rPr>
        <w:t>распределен следующим муниципальным образованиям:</w:t>
      </w:r>
    </w:p>
    <w:p w:rsidR="00D34E30" w:rsidRDefault="00603E53" w:rsidP="00603E53">
      <w:pPr>
        <w:ind w:firstLine="709"/>
        <w:jc w:val="both"/>
        <w:rPr>
          <w:szCs w:val="28"/>
        </w:rPr>
      </w:pPr>
      <w:r w:rsidRPr="00603E53">
        <w:rPr>
          <w:szCs w:val="28"/>
        </w:rPr>
        <w:t xml:space="preserve">1) </w:t>
      </w:r>
      <w:r w:rsidR="00D34E30" w:rsidRPr="00603E53">
        <w:rPr>
          <w:szCs w:val="28"/>
        </w:rPr>
        <w:t xml:space="preserve">муниципальное образование «Аларский район» - </w:t>
      </w:r>
      <w:r w:rsidR="00950B6C">
        <w:rPr>
          <w:szCs w:val="28"/>
        </w:rPr>
        <w:t>485</w:t>
      </w:r>
      <w:r w:rsidR="00D34E30" w:rsidRPr="00603E53">
        <w:rPr>
          <w:szCs w:val="28"/>
        </w:rPr>
        <w:t xml:space="preserve"> литров, на </w:t>
      </w:r>
      <w:r w:rsidR="00950B6C">
        <w:rPr>
          <w:szCs w:val="28"/>
        </w:rPr>
        <w:t>161,7</w:t>
      </w:r>
      <w:r w:rsidR="00D34E30" w:rsidRPr="00603E53">
        <w:rPr>
          <w:szCs w:val="28"/>
        </w:rPr>
        <w:t xml:space="preserve"> га</w:t>
      </w:r>
      <w:r w:rsidR="00D34E30">
        <w:rPr>
          <w:szCs w:val="28"/>
        </w:rPr>
        <w:t>;</w:t>
      </w:r>
    </w:p>
    <w:p w:rsidR="00D34E30" w:rsidRDefault="00D34E30" w:rsidP="00603E53">
      <w:pPr>
        <w:ind w:firstLine="709"/>
        <w:jc w:val="both"/>
        <w:rPr>
          <w:szCs w:val="28"/>
        </w:rPr>
      </w:pPr>
      <w:r>
        <w:rPr>
          <w:szCs w:val="28"/>
        </w:rPr>
        <w:t>2) муниципальное образование «</w:t>
      </w:r>
      <w:proofErr w:type="spellStart"/>
      <w:r>
        <w:rPr>
          <w:szCs w:val="28"/>
        </w:rPr>
        <w:t>Балаганский</w:t>
      </w:r>
      <w:proofErr w:type="spellEnd"/>
      <w:r>
        <w:rPr>
          <w:szCs w:val="28"/>
        </w:rPr>
        <w:t xml:space="preserve"> район» - </w:t>
      </w:r>
      <w:r w:rsidR="00C628D5">
        <w:rPr>
          <w:szCs w:val="28"/>
        </w:rPr>
        <w:t>2</w:t>
      </w:r>
      <w:r w:rsidR="00950B6C">
        <w:rPr>
          <w:szCs w:val="28"/>
        </w:rPr>
        <w:t>90</w:t>
      </w:r>
      <w:r w:rsidR="00C628D5">
        <w:rPr>
          <w:szCs w:val="28"/>
        </w:rPr>
        <w:t xml:space="preserve"> литров, на </w:t>
      </w:r>
      <w:r w:rsidR="00950B6C">
        <w:rPr>
          <w:szCs w:val="28"/>
        </w:rPr>
        <w:t>96,7</w:t>
      </w:r>
      <w:r w:rsidR="00C628D5">
        <w:rPr>
          <w:szCs w:val="28"/>
        </w:rPr>
        <w:t xml:space="preserve"> га;</w:t>
      </w:r>
    </w:p>
    <w:p w:rsidR="00D34E30" w:rsidRDefault="00D34E30" w:rsidP="00603E53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Pr="00D34E30">
        <w:rPr>
          <w:szCs w:val="28"/>
        </w:rPr>
        <w:t xml:space="preserve"> </w:t>
      </w:r>
      <w:proofErr w:type="spellStart"/>
      <w:r w:rsidRPr="00603E53">
        <w:rPr>
          <w:szCs w:val="28"/>
        </w:rPr>
        <w:t>Зиминское</w:t>
      </w:r>
      <w:proofErr w:type="spellEnd"/>
      <w:r w:rsidRPr="00603E53">
        <w:rPr>
          <w:szCs w:val="28"/>
        </w:rPr>
        <w:t xml:space="preserve"> районное муниципальное образование – 1</w:t>
      </w:r>
      <w:r w:rsidR="00950B6C">
        <w:rPr>
          <w:szCs w:val="28"/>
        </w:rPr>
        <w:t>20</w:t>
      </w:r>
      <w:r w:rsidRPr="00603E53">
        <w:rPr>
          <w:szCs w:val="28"/>
        </w:rPr>
        <w:t xml:space="preserve"> литров, на </w:t>
      </w:r>
      <w:r w:rsidR="00C628D5">
        <w:rPr>
          <w:szCs w:val="28"/>
        </w:rPr>
        <w:t>4</w:t>
      </w:r>
      <w:r w:rsidR="00950B6C">
        <w:rPr>
          <w:szCs w:val="28"/>
        </w:rPr>
        <w:t>0,0</w:t>
      </w:r>
      <w:r w:rsidRPr="00603E53">
        <w:rPr>
          <w:szCs w:val="28"/>
        </w:rPr>
        <w:t xml:space="preserve"> га;</w:t>
      </w:r>
    </w:p>
    <w:p w:rsidR="00D34E30" w:rsidRDefault="00D34E30" w:rsidP="00603E5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4) </w:t>
      </w:r>
      <w:r w:rsidRPr="00603E53">
        <w:rPr>
          <w:szCs w:val="28"/>
        </w:rPr>
        <w:t>муниципальное образование «</w:t>
      </w:r>
      <w:proofErr w:type="spellStart"/>
      <w:r w:rsidRPr="00603E53">
        <w:rPr>
          <w:szCs w:val="28"/>
        </w:rPr>
        <w:t>Тулунский</w:t>
      </w:r>
      <w:proofErr w:type="spellEnd"/>
      <w:r w:rsidRPr="00603E53">
        <w:rPr>
          <w:szCs w:val="28"/>
        </w:rPr>
        <w:t xml:space="preserve"> район» - </w:t>
      </w:r>
      <w:r w:rsidR="00950B6C">
        <w:rPr>
          <w:szCs w:val="28"/>
        </w:rPr>
        <w:t>180</w:t>
      </w:r>
      <w:r w:rsidRPr="00603E53">
        <w:rPr>
          <w:szCs w:val="28"/>
        </w:rPr>
        <w:t xml:space="preserve"> литров, на 6</w:t>
      </w:r>
      <w:r w:rsidR="00950B6C">
        <w:rPr>
          <w:szCs w:val="28"/>
        </w:rPr>
        <w:t>0,0</w:t>
      </w:r>
      <w:r w:rsidRPr="00603E53">
        <w:rPr>
          <w:szCs w:val="28"/>
        </w:rPr>
        <w:t xml:space="preserve"> га;</w:t>
      </w:r>
    </w:p>
    <w:p w:rsidR="00D34E30" w:rsidRDefault="00D34E30" w:rsidP="00603E53">
      <w:pPr>
        <w:ind w:firstLine="709"/>
        <w:jc w:val="both"/>
        <w:rPr>
          <w:szCs w:val="28"/>
        </w:rPr>
      </w:pPr>
      <w:r>
        <w:rPr>
          <w:szCs w:val="28"/>
        </w:rPr>
        <w:t xml:space="preserve">5) муниципальное образование «Заларинский район» - </w:t>
      </w:r>
      <w:r w:rsidR="00950B6C">
        <w:rPr>
          <w:szCs w:val="28"/>
        </w:rPr>
        <w:t>460</w:t>
      </w:r>
      <w:r w:rsidR="00C628D5">
        <w:rPr>
          <w:szCs w:val="28"/>
        </w:rPr>
        <w:t xml:space="preserve"> литров, на 1</w:t>
      </w:r>
      <w:r w:rsidR="00950B6C">
        <w:rPr>
          <w:szCs w:val="28"/>
        </w:rPr>
        <w:t>53,3</w:t>
      </w:r>
      <w:r w:rsidR="00C628D5">
        <w:rPr>
          <w:szCs w:val="28"/>
        </w:rPr>
        <w:t xml:space="preserve"> га;</w:t>
      </w:r>
    </w:p>
    <w:p w:rsidR="00D34E30" w:rsidRDefault="00D34E30" w:rsidP="00603E53">
      <w:pPr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proofErr w:type="spellStart"/>
      <w:r>
        <w:rPr>
          <w:szCs w:val="28"/>
        </w:rPr>
        <w:t>Усольское</w:t>
      </w:r>
      <w:proofErr w:type="spellEnd"/>
      <w:r>
        <w:rPr>
          <w:szCs w:val="28"/>
        </w:rPr>
        <w:t xml:space="preserve"> районное муниципальное образование – </w:t>
      </w:r>
      <w:r w:rsidR="00C628D5">
        <w:rPr>
          <w:szCs w:val="28"/>
        </w:rPr>
        <w:t>45 литров, на 15 га;</w:t>
      </w:r>
    </w:p>
    <w:p w:rsidR="00D34E30" w:rsidRDefault="00D34E30" w:rsidP="00603E53">
      <w:pPr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proofErr w:type="spellStart"/>
      <w:r>
        <w:rPr>
          <w:szCs w:val="28"/>
        </w:rPr>
        <w:t>Чунское</w:t>
      </w:r>
      <w:proofErr w:type="spellEnd"/>
      <w:r>
        <w:rPr>
          <w:szCs w:val="28"/>
        </w:rPr>
        <w:t xml:space="preserve"> районное муниципальное образование </w:t>
      </w:r>
      <w:r w:rsidR="00C628D5">
        <w:rPr>
          <w:szCs w:val="28"/>
        </w:rPr>
        <w:t>–</w:t>
      </w:r>
      <w:r>
        <w:rPr>
          <w:szCs w:val="28"/>
        </w:rPr>
        <w:t xml:space="preserve"> </w:t>
      </w:r>
      <w:r w:rsidR="00C628D5">
        <w:rPr>
          <w:szCs w:val="28"/>
        </w:rPr>
        <w:t>90 литров, на 30 га.</w:t>
      </w:r>
    </w:p>
    <w:p w:rsidR="00293E59" w:rsidRDefault="0076119D" w:rsidP="00603E53">
      <w:pPr>
        <w:ind w:firstLine="709"/>
        <w:jc w:val="both"/>
        <w:rPr>
          <w:szCs w:val="28"/>
        </w:rPr>
      </w:pPr>
      <w:r>
        <w:rPr>
          <w:szCs w:val="28"/>
        </w:rPr>
        <w:t xml:space="preserve">С вышеперечисленными </w:t>
      </w:r>
      <w:r w:rsidR="00603E53" w:rsidRPr="00603E53">
        <w:rPr>
          <w:szCs w:val="28"/>
        </w:rPr>
        <w:t>муниципальным</w:t>
      </w:r>
      <w:r>
        <w:rPr>
          <w:szCs w:val="28"/>
        </w:rPr>
        <w:t>и</w:t>
      </w:r>
      <w:r w:rsidR="00603E53" w:rsidRPr="00603E53">
        <w:rPr>
          <w:szCs w:val="28"/>
        </w:rPr>
        <w:t xml:space="preserve"> образованиям</w:t>
      </w:r>
      <w:r>
        <w:rPr>
          <w:szCs w:val="28"/>
        </w:rPr>
        <w:t xml:space="preserve">и подписаны </w:t>
      </w:r>
      <w:r w:rsidR="00603E53" w:rsidRPr="00603E53">
        <w:rPr>
          <w:szCs w:val="28"/>
        </w:rPr>
        <w:t xml:space="preserve"> Соглашения «О взаимодействии по реализации мероприятий подпрограммы «Комплексные меры профилактики злоупотребления наркотическими средствами, токсическими и психотропными веществами» на 2019 - 2024 годы государственной программы Иркутской области «Молодежная политика» на 2019-2024 годы»</w:t>
      </w:r>
      <w:r w:rsidR="00293E59">
        <w:rPr>
          <w:szCs w:val="28"/>
        </w:rPr>
        <w:t xml:space="preserve">, передача гербицида </w:t>
      </w:r>
      <w:r w:rsidR="000E75C0">
        <w:rPr>
          <w:szCs w:val="28"/>
        </w:rPr>
        <w:t>«</w:t>
      </w:r>
      <w:r w:rsidR="00C628D5">
        <w:rPr>
          <w:szCs w:val="28"/>
        </w:rPr>
        <w:t>Спрут Экстра ВР</w:t>
      </w:r>
      <w:r w:rsidR="000E75C0">
        <w:rPr>
          <w:szCs w:val="28"/>
        </w:rPr>
        <w:t xml:space="preserve">» </w:t>
      </w:r>
      <w:r w:rsidR="00293E59">
        <w:rPr>
          <w:szCs w:val="28"/>
        </w:rPr>
        <w:t>будет осуществлена до 10 июня текущего года.</w:t>
      </w:r>
    </w:p>
    <w:p w:rsidR="00AA0D3C" w:rsidRDefault="002F1FA6" w:rsidP="00603E5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Кроме того, </w:t>
      </w:r>
      <w:r w:rsidR="000163BD">
        <w:rPr>
          <w:szCs w:val="28"/>
        </w:rPr>
        <w:t>в соответствии с п</w:t>
      </w:r>
      <w:r w:rsidR="00BB1305">
        <w:rPr>
          <w:szCs w:val="28"/>
        </w:rPr>
        <w:t>.</w:t>
      </w:r>
      <w:r w:rsidR="000163BD">
        <w:rPr>
          <w:szCs w:val="28"/>
        </w:rPr>
        <w:t xml:space="preserve"> 2.2. </w:t>
      </w:r>
      <w:r w:rsidR="000163BD" w:rsidRPr="000163BD">
        <w:rPr>
          <w:szCs w:val="28"/>
        </w:rPr>
        <w:t xml:space="preserve">протокола заседания антинаркотической комиссии от </w:t>
      </w:r>
      <w:r w:rsidR="000163BD">
        <w:rPr>
          <w:szCs w:val="28"/>
        </w:rPr>
        <w:t xml:space="preserve">19 августа </w:t>
      </w:r>
      <w:r w:rsidR="000163BD" w:rsidRPr="000163BD">
        <w:rPr>
          <w:szCs w:val="28"/>
        </w:rPr>
        <w:t xml:space="preserve">2020 года № </w:t>
      </w:r>
      <w:r w:rsidR="000163BD">
        <w:rPr>
          <w:szCs w:val="28"/>
        </w:rPr>
        <w:t>3</w:t>
      </w:r>
      <w:r w:rsidR="000163BD" w:rsidRPr="000163BD">
        <w:rPr>
          <w:szCs w:val="28"/>
        </w:rPr>
        <w:t>-20</w:t>
      </w:r>
      <w:r w:rsidR="000163BD">
        <w:rPr>
          <w:szCs w:val="28"/>
        </w:rPr>
        <w:t xml:space="preserve"> </w:t>
      </w:r>
      <w:r w:rsidR="000163BD" w:rsidRPr="0076119D">
        <w:rPr>
          <w:szCs w:val="28"/>
        </w:rPr>
        <w:t xml:space="preserve">(Министерству сельского хозяйства Иркутской области в рамках деятельности межведомственной рабочей группы рассмотреть возможность использования в 2021 году гербицидов, приобретенных в 2020 году и неиспользованных Иркутским районным муниципальным образованием, </w:t>
      </w:r>
      <w:proofErr w:type="spellStart"/>
      <w:r w:rsidR="000163BD" w:rsidRPr="0076119D">
        <w:rPr>
          <w:szCs w:val="28"/>
        </w:rPr>
        <w:t>Зиминским</w:t>
      </w:r>
      <w:proofErr w:type="spellEnd"/>
      <w:r w:rsidR="000163BD" w:rsidRPr="0076119D">
        <w:rPr>
          <w:szCs w:val="28"/>
        </w:rPr>
        <w:t xml:space="preserve"> районным муниципальным образованием в </w:t>
      </w:r>
      <w:r w:rsidR="004321DD" w:rsidRPr="004321DD">
        <w:rPr>
          <w:szCs w:val="28"/>
        </w:rPr>
        <w:t>2020</w:t>
      </w:r>
      <w:r w:rsidR="000163BD" w:rsidRPr="0076119D">
        <w:rPr>
          <w:szCs w:val="28"/>
        </w:rPr>
        <w:t xml:space="preserve"> году, в рамках реализации мероприятий подпрограммы «Комплексные меры профилактики</w:t>
      </w:r>
      <w:proofErr w:type="gramEnd"/>
      <w:r w:rsidR="000163BD" w:rsidRPr="0076119D">
        <w:rPr>
          <w:szCs w:val="28"/>
        </w:rPr>
        <w:t xml:space="preserve"> </w:t>
      </w:r>
      <w:proofErr w:type="gramStart"/>
      <w:r w:rsidR="000163BD" w:rsidRPr="0076119D">
        <w:rPr>
          <w:szCs w:val="28"/>
        </w:rPr>
        <w:t xml:space="preserve">злоупотребления наркотическими средствами, токсическими и психотропными веществами» на 2019-2024 годы государственной программы Иркутской области «Молодежная политика» на 2019-2024 годы), </w:t>
      </w:r>
      <w:r w:rsidR="000163BD">
        <w:rPr>
          <w:szCs w:val="28"/>
        </w:rPr>
        <w:t xml:space="preserve">на основании протокола </w:t>
      </w:r>
      <w:r w:rsidRPr="002F1FA6">
        <w:rPr>
          <w:szCs w:val="28"/>
        </w:rPr>
        <w:t>заседания межведомственной рабочей группы по распределению средств химической защиты растений</w:t>
      </w:r>
      <w:r w:rsidR="00BB1305">
        <w:rPr>
          <w:szCs w:val="28"/>
        </w:rPr>
        <w:t xml:space="preserve"> от 23 сентября 2020 года</w:t>
      </w:r>
      <w:r w:rsidRPr="002F1FA6">
        <w:rPr>
          <w:szCs w:val="28"/>
        </w:rPr>
        <w:t>, принято решение о согласовании использования в 2021 году гербицидов</w:t>
      </w:r>
      <w:r>
        <w:rPr>
          <w:szCs w:val="28"/>
        </w:rPr>
        <w:t xml:space="preserve"> в</w:t>
      </w:r>
      <w:r w:rsidRPr="002F1FA6">
        <w:rPr>
          <w:szCs w:val="28"/>
        </w:rPr>
        <w:t xml:space="preserve"> </w:t>
      </w:r>
      <w:r>
        <w:rPr>
          <w:szCs w:val="28"/>
        </w:rPr>
        <w:t xml:space="preserve">объеме </w:t>
      </w:r>
      <w:r w:rsidRPr="002F1FA6">
        <w:rPr>
          <w:szCs w:val="28"/>
        </w:rPr>
        <w:t>892 литров</w:t>
      </w:r>
      <w:r>
        <w:rPr>
          <w:szCs w:val="28"/>
        </w:rPr>
        <w:t xml:space="preserve"> </w:t>
      </w:r>
      <w:r w:rsidRPr="0076119D">
        <w:rPr>
          <w:szCs w:val="28"/>
        </w:rPr>
        <w:t xml:space="preserve">(«Торнадо 500», ВР действующее вещество – </w:t>
      </w:r>
      <w:proofErr w:type="spellStart"/>
      <w:r w:rsidRPr="0076119D">
        <w:rPr>
          <w:szCs w:val="28"/>
        </w:rPr>
        <w:t>глифосат</w:t>
      </w:r>
      <w:proofErr w:type="spellEnd"/>
      <w:r w:rsidRPr="0076119D">
        <w:rPr>
          <w:szCs w:val="28"/>
        </w:rPr>
        <w:t xml:space="preserve"> (</w:t>
      </w:r>
      <w:proofErr w:type="spellStart"/>
      <w:r w:rsidRPr="0076119D">
        <w:rPr>
          <w:szCs w:val="28"/>
        </w:rPr>
        <w:t>изопропиламинная</w:t>
      </w:r>
      <w:proofErr w:type="spellEnd"/>
      <w:r w:rsidRPr="0076119D">
        <w:rPr>
          <w:szCs w:val="28"/>
        </w:rPr>
        <w:t xml:space="preserve"> соль), концентрация действующего</w:t>
      </w:r>
      <w:proofErr w:type="gramEnd"/>
      <w:r w:rsidRPr="0076119D">
        <w:rPr>
          <w:szCs w:val="28"/>
        </w:rPr>
        <w:t xml:space="preserve"> </w:t>
      </w:r>
      <w:proofErr w:type="gramStart"/>
      <w:r w:rsidRPr="0076119D">
        <w:rPr>
          <w:szCs w:val="28"/>
        </w:rPr>
        <w:t xml:space="preserve">вещества 500 г/л </w:t>
      </w:r>
      <w:proofErr w:type="spellStart"/>
      <w:r w:rsidRPr="0076119D">
        <w:rPr>
          <w:szCs w:val="28"/>
        </w:rPr>
        <w:t>глифосата</w:t>
      </w:r>
      <w:proofErr w:type="spellEnd"/>
      <w:r w:rsidRPr="0076119D">
        <w:rPr>
          <w:szCs w:val="28"/>
        </w:rPr>
        <w:t xml:space="preserve"> кислоты, норма расхода препарата 3 литра на гектар, производитель действующего вещества АО Фирма «Август» Россия), приобретенных в 2020 году и неиспользованных </w:t>
      </w:r>
      <w:r w:rsidRPr="002F1FA6">
        <w:rPr>
          <w:szCs w:val="28"/>
        </w:rPr>
        <w:t>Иркутским районном муниципальным образованием</w:t>
      </w:r>
      <w:r>
        <w:rPr>
          <w:szCs w:val="28"/>
        </w:rPr>
        <w:t xml:space="preserve"> </w:t>
      </w:r>
      <w:r w:rsidRPr="0076119D">
        <w:rPr>
          <w:szCs w:val="28"/>
        </w:rPr>
        <w:t>(328 литров, на 109</w:t>
      </w:r>
      <w:r w:rsidR="00556048" w:rsidRPr="0076119D">
        <w:rPr>
          <w:szCs w:val="28"/>
        </w:rPr>
        <w:t>,3</w:t>
      </w:r>
      <w:r w:rsidRPr="0076119D">
        <w:rPr>
          <w:szCs w:val="28"/>
        </w:rPr>
        <w:t xml:space="preserve"> га), </w:t>
      </w:r>
      <w:proofErr w:type="spellStart"/>
      <w:r w:rsidRPr="0076119D">
        <w:rPr>
          <w:szCs w:val="28"/>
        </w:rPr>
        <w:t>Зиминским</w:t>
      </w:r>
      <w:proofErr w:type="spellEnd"/>
      <w:r w:rsidRPr="0076119D">
        <w:rPr>
          <w:szCs w:val="28"/>
        </w:rPr>
        <w:t xml:space="preserve"> районным муниципальным образованием (450 </w:t>
      </w:r>
      <w:r w:rsidR="00AC20B4" w:rsidRPr="0076119D">
        <w:rPr>
          <w:szCs w:val="28"/>
        </w:rPr>
        <w:t>литров, на 150 га)</w:t>
      </w:r>
      <w:r w:rsidRPr="0076119D">
        <w:rPr>
          <w:szCs w:val="28"/>
        </w:rPr>
        <w:t>, муниципальным образованием «Аларский район»</w:t>
      </w:r>
      <w:r w:rsidR="00AC20B4" w:rsidRPr="0076119D">
        <w:rPr>
          <w:szCs w:val="28"/>
        </w:rPr>
        <w:t xml:space="preserve"> (114 литров, на 38 га)</w:t>
      </w:r>
      <w:r w:rsidRPr="0076119D">
        <w:rPr>
          <w:szCs w:val="28"/>
        </w:rPr>
        <w:t xml:space="preserve"> в 2020 </w:t>
      </w:r>
      <w:r w:rsidRPr="002F1FA6">
        <w:rPr>
          <w:szCs w:val="28"/>
        </w:rPr>
        <w:t>году, в рамках реализации мероприятий</w:t>
      </w:r>
      <w:proofErr w:type="gramEnd"/>
      <w:r w:rsidRPr="002F1FA6">
        <w:rPr>
          <w:szCs w:val="28"/>
        </w:rPr>
        <w:t xml:space="preserve"> подпрограммы «Комплексные меры профилактики злоупотребления наркотическими средствами, токсическими и психотропными веществами» на 2019-2024 годы государственной программы Иркутской области «Молодежная политика» на 2019-2024 годы.</w:t>
      </w:r>
    </w:p>
    <w:p w:rsidR="00D34E30" w:rsidRDefault="00457C18" w:rsidP="00603E53">
      <w:pPr>
        <w:ind w:firstLine="709"/>
        <w:jc w:val="both"/>
        <w:rPr>
          <w:szCs w:val="28"/>
        </w:rPr>
      </w:pPr>
      <w:r w:rsidRPr="00457C18">
        <w:rPr>
          <w:szCs w:val="28"/>
        </w:rPr>
        <w:t>Планируемая площадь уничтожения очагов произрастания дикорастущей конопли в Иркутской области в 202</w:t>
      </w:r>
      <w:r>
        <w:rPr>
          <w:szCs w:val="28"/>
        </w:rPr>
        <w:t>1</w:t>
      </w:r>
      <w:r w:rsidRPr="00457C18">
        <w:rPr>
          <w:szCs w:val="28"/>
        </w:rPr>
        <w:t xml:space="preserve"> году составит </w:t>
      </w:r>
      <w:r w:rsidR="00556048">
        <w:rPr>
          <w:szCs w:val="28"/>
        </w:rPr>
        <w:t>854</w:t>
      </w:r>
      <w:r w:rsidRPr="00457C18">
        <w:rPr>
          <w:szCs w:val="28"/>
        </w:rPr>
        <w:t xml:space="preserve"> га (общее количество средств химической защиты растений – </w:t>
      </w:r>
      <w:r w:rsidR="00556048">
        <w:rPr>
          <w:szCs w:val="28"/>
        </w:rPr>
        <w:t>2565</w:t>
      </w:r>
      <w:r w:rsidRPr="00457C18">
        <w:rPr>
          <w:szCs w:val="28"/>
        </w:rPr>
        <w:t xml:space="preserve"> литров</w:t>
      </w:r>
      <w:r w:rsidR="00556048" w:rsidRPr="00556048">
        <w:rPr>
          <w:color w:val="808080" w:themeColor="background1" w:themeShade="80"/>
          <w:szCs w:val="28"/>
        </w:rPr>
        <w:t xml:space="preserve">, </w:t>
      </w:r>
      <w:r w:rsidR="00556048" w:rsidRPr="0076119D">
        <w:rPr>
          <w:szCs w:val="28"/>
        </w:rPr>
        <w:t>в том числе 892 литра, на 297,3 га неиспользованные в 2020 году</w:t>
      </w:r>
      <w:r w:rsidRPr="0076119D">
        <w:rPr>
          <w:szCs w:val="28"/>
        </w:rPr>
        <w:t>)</w:t>
      </w:r>
      <w:r w:rsidR="0076119D">
        <w:rPr>
          <w:szCs w:val="28"/>
        </w:rPr>
        <w:t>.</w:t>
      </w:r>
      <w:r w:rsidRPr="0076119D">
        <w:rPr>
          <w:szCs w:val="28"/>
        </w:rPr>
        <w:t xml:space="preserve"> </w:t>
      </w:r>
    </w:p>
    <w:p w:rsidR="00D24FFC" w:rsidRDefault="00D24FFC" w:rsidP="00603E53">
      <w:pPr>
        <w:ind w:firstLine="709"/>
        <w:jc w:val="both"/>
        <w:rPr>
          <w:szCs w:val="28"/>
        </w:rPr>
      </w:pPr>
    </w:p>
    <w:p w:rsidR="00D24FFC" w:rsidRDefault="00D24FFC" w:rsidP="00D24FFC">
      <w:pPr>
        <w:ind w:firstLine="709"/>
        <w:jc w:val="both"/>
        <w:rPr>
          <w:szCs w:val="28"/>
        </w:rPr>
      </w:pPr>
    </w:p>
    <w:p w:rsidR="0038446B" w:rsidRPr="00D24FFC" w:rsidRDefault="0038446B">
      <w:pPr>
        <w:ind w:firstLine="709"/>
        <w:jc w:val="both"/>
        <w:rPr>
          <w:szCs w:val="28"/>
        </w:rPr>
      </w:pPr>
    </w:p>
    <w:sectPr w:rsidR="0038446B" w:rsidRPr="00D24FFC" w:rsidSect="00DE64F6">
      <w:headerReference w:type="default" r:id="rId10"/>
      <w:pgSz w:w="11906" w:h="16838"/>
      <w:pgMar w:top="79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2A" w:rsidRDefault="0069042A">
      <w:r>
        <w:separator/>
      </w:r>
    </w:p>
  </w:endnote>
  <w:endnote w:type="continuationSeparator" w:id="0">
    <w:p w:rsidR="0069042A" w:rsidRDefault="0069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2A" w:rsidRDefault="0069042A">
      <w:r>
        <w:separator/>
      </w:r>
    </w:p>
  </w:footnote>
  <w:footnote w:type="continuationSeparator" w:id="0">
    <w:p w:rsidR="0069042A" w:rsidRDefault="00690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215430"/>
      <w:docPartObj>
        <w:docPartGallery w:val="Page Numbers (Top of Page)"/>
        <w:docPartUnique/>
      </w:docPartObj>
    </w:sdtPr>
    <w:sdtEndPr/>
    <w:sdtContent>
      <w:p w:rsidR="00DA1ADE" w:rsidRDefault="00DA1A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0E6">
          <w:rPr>
            <w:noProof/>
          </w:rPr>
          <w:t>1</w:t>
        </w:r>
        <w:r>
          <w:fldChar w:fldCharType="end"/>
        </w:r>
      </w:p>
    </w:sdtContent>
  </w:sdt>
  <w:p w:rsidR="00DA1ADE" w:rsidRDefault="00DA1A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728F"/>
    <w:multiLevelType w:val="hybridMultilevel"/>
    <w:tmpl w:val="D0B41EBC"/>
    <w:lvl w:ilvl="0" w:tplc="4CA6E6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127D68"/>
    <w:multiLevelType w:val="hybridMultilevel"/>
    <w:tmpl w:val="869236C6"/>
    <w:lvl w:ilvl="0" w:tplc="F3B886A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72FB3"/>
    <w:multiLevelType w:val="hybridMultilevel"/>
    <w:tmpl w:val="54C6B300"/>
    <w:lvl w:ilvl="0" w:tplc="74FA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AD67FF"/>
    <w:multiLevelType w:val="hybridMultilevel"/>
    <w:tmpl w:val="47782A26"/>
    <w:lvl w:ilvl="0" w:tplc="05444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27920"/>
    <w:multiLevelType w:val="hybridMultilevel"/>
    <w:tmpl w:val="7D6E80AE"/>
    <w:lvl w:ilvl="0" w:tplc="E568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07"/>
    <w:rsid w:val="000001FB"/>
    <w:rsid w:val="00000C5C"/>
    <w:rsid w:val="00014B4A"/>
    <w:rsid w:val="000163BD"/>
    <w:rsid w:val="0007002A"/>
    <w:rsid w:val="000904EF"/>
    <w:rsid w:val="00096F21"/>
    <w:rsid w:val="000C49F4"/>
    <w:rsid w:val="000C5DF8"/>
    <w:rsid w:val="000E75C0"/>
    <w:rsid w:val="00170768"/>
    <w:rsid w:val="00182CFA"/>
    <w:rsid w:val="00185B28"/>
    <w:rsid w:val="001B195A"/>
    <w:rsid w:val="001E126B"/>
    <w:rsid w:val="001E3F84"/>
    <w:rsid w:val="001F0286"/>
    <w:rsid w:val="00230FB8"/>
    <w:rsid w:val="00236850"/>
    <w:rsid w:val="00261AFD"/>
    <w:rsid w:val="002822E2"/>
    <w:rsid w:val="002839E2"/>
    <w:rsid w:val="00283D75"/>
    <w:rsid w:val="002841BB"/>
    <w:rsid w:val="00293E59"/>
    <w:rsid w:val="002A07AD"/>
    <w:rsid w:val="002A7C9B"/>
    <w:rsid w:val="002B2658"/>
    <w:rsid w:val="002C5308"/>
    <w:rsid w:val="002C77BA"/>
    <w:rsid w:val="002D1099"/>
    <w:rsid w:val="002D3241"/>
    <w:rsid w:val="002D6D7D"/>
    <w:rsid w:val="002F1FA6"/>
    <w:rsid w:val="002F3D83"/>
    <w:rsid w:val="002F7013"/>
    <w:rsid w:val="00306F9C"/>
    <w:rsid w:val="00321809"/>
    <w:rsid w:val="00346587"/>
    <w:rsid w:val="0038446B"/>
    <w:rsid w:val="003A00E1"/>
    <w:rsid w:val="003A6B68"/>
    <w:rsid w:val="003B656A"/>
    <w:rsid w:val="003F2A49"/>
    <w:rsid w:val="004024FF"/>
    <w:rsid w:val="004321DD"/>
    <w:rsid w:val="00457C18"/>
    <w:rsid w:val="00460F1C"/>
    <w:rsid w:val="00467389"/>
    <w:rsid w:val="004A2E1C"/>
    <w:rsid w:val="004D3873"/>
    <w:rsid w:val="0050346E"/>
    <w:rsid w:val="00516516"/>
    <w:rsid w:val="00556048"/>
    <w:rsid w:val="00575707"/>
    <w:rsid w:val="005862B8"/>
    <w:rsid w:val="005A3ABE"/>
    <w:rsid w:val="005C1C37"/>
    <w:rsid w:val="00603E53"/>
    <w:rsid w:val="00606859"/>
    <w:rsid w:val="006242F5"/>
    <w:rsid w:val="0069042A"/>
    <w:rsid w:val="006A52D5"/>
    <w:rsid w:val="006A5DDD"/>
    <w:rsid w:val="006C4039"/>
    <w:rsid w:val="006D4F0C"/>
    <w:rsid w:val="00711B88"/>
    <w:rsid w:val="007135B0"/>
    <w:rsid w:val="007354B8"/>
    <w:rsid w:val="0076119D"/>
    <w:rsid w:val="00765F8F"/>
    <w:rsid w:val="00772C92"/>
    <w:rsid w:val="00805F0B"/>
    <w:rsid w:val="00826CF5"/>
    <w:rsid w:val="0083388D"/>
    <w:rsid w:val="008364CA"/>
    <w:rsid w:val="008370E6"/>
    <w:rsid w:val="00851CF0"/>
    <w:rsid w:val="008E4B7D"/>
    <w:rsid w:val="00901466"/>
    <w:rsid w:val="0092028F"/>
    <w:rsid w:val="00950B6C"/>
    <w:rsid w:val="00967DEB"/>
    <w:rsid w:val="00982322"/>
    <w:rsid w:val="009C752D"/>
    <w:rsid w:val="00A647DD"/>
    <w:rsid w:val="00A75CCD"/>
    <w:rsid w:val="00A764F3"/>
    <w:rsid w:val="00A87F62"/>
    <w:rsid w:val="00A93024"/>
    <w:rsid w:val="00AA0D3C"/>
    <w:rsid w:val="00AB4DC5"/>
    <w:rsid w:val="00AC20B4"/>
    <w:rsid w:val="00AC2E58"/>
    <w:rsid w:val="00AD2D76"/>
    <w:rsid w:val="00AF28BA"/>
    <w:rsid w:val="00AF5C51"/>
    <w:rsid w:val="00B00A7C"/>
    <w:rsid w:val="00B3341C"/>
    <w:rsid w:val="00B35EA8"/>
    <w:rsid w:val="00B41207"/>
    <w:rsid w:val="00B53AD7"/>
    <w:rsid w:val="00B566FB"/>
    <w:rsid w:val="00B66C8A"/>
    <w:rsid w:val="00B805B7"/>
    <w:rsid w:val="00B81720"/>
    <w:rsid w:val="00B8719F"/>
    <w:rsid w:val="00B94107"/>
    <w:rsid w:val="00BB1305"/>
    <w:rsid w:val="00BC58F0"/>
    <w:rsid w:val="00BD1DBB"/>
    <w:rsid w:val="00BD7391"/>
    <w:rsid w:val="00BF4CE6"/>
    <w:rsid w:val="00BF7DF8"/>
    <w:rsid w:val="00C0007B"/>
    <w:rsid w:val="00C16F1A"/>
    <w:rsid w:val="00C26BCA"/>
    <w:rsid w:val="00C401C6"/>
    <w:rsid w:val="00C628D5"/>
    <w:rsid w:val="00C70B6A"/>
    <w:rsid w:val="00C84738"/>
    <w:rsid w:val="00CB096B"/>
    <w:rsid w:val="00CC66CF"/>
    <w:rsid w:val="00D24FFC"/>
    <w:rsid w:val="00D31995"/>
    <w:rsid w:val="00D34E30"/>
    <w:rsid w:val="00D43F40"/>
    <w:rsid w:val="00D50468"/>
    <w:rsid w:val="00D50A4A"/>
    <w:rsid w:val="00D517A8"/>
    <w:rsid w:val="00D75C19"/>
    <w:rsid w:val="00D80AFE"/>
    <w:rsid w:val="00DA1ADE"/>
    <w:rsid w:val="00DA50DA"/>
    <w:rsid w:val="00DC2CCA"/>
    <w:rsid w:val="00DC5552"/>
    <w:rsid w:val="00DE64F6"/>
    <w:rsid w:val="00DF11BF"/>
    <w:rsid w:val="00E025C2"/>
    <w:rsid w:val="00E40EC4"/>
    <w:rsid w:val="00E44214"/>
    <w:rsid w:val="00EC7153"/>
    <w:rsid w:val="00ED6A51"/>
    <w:rsid w:val="00EE4DB0"/>
    <w:rsid w:val="00F3026E"/>
    <w:rsid w:val="00F47A51"/>
    <w:rsid w:val="00F50975"/>
    <w:rsid w:val="00F714CF"/>
    <w:rsid w:val="00FA49F9"/>
    <w:rsid w:val="00FA70F6"/>
    <w:rsid w:val="00FC67F4"/>
    <w:rsid w:val="00FD7DF1"/>
    <w:rsid w:val="00FF2756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01C6"/>
    <w:pPr>
      <w:jc w:val="center"/>
    </w:pPr>
  </w:style>
  <w:style w:type="character" w:customStyle="1" w:styleId="a4">
    <w:name w:val="Название Знак"/>
    <w:basedOn w:val="a0"/>
    <w:link w:val="a3"/>
    <w:rsid w:val="00C401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graphjustifyindent">
    <w:name w:val="paragraph_justify_indent"/>
    <w:basedOn w:val="a"/>
    <w:rsid w:val="0083388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6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6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0904E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A3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A3AB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5A3A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01C6"/>
    <w:pPr>
      <w:jc w:val="center"/>
    </w:pPr>
  </w:style>
  <w:style w:type="character" w:customStyle="1" w:styleId="a4">
    <w:name w:val="Название Знак"/>
    <w:basedOn w:val="a0"/>
    <w:link w:val="a3"/>
    <w:rsid w:val="00C401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graphjustifyindent">
    <w:name w:val="paragraph_justify_indent"/>
    <w:basedOn w:val="a"/>
    <w:rsid w:val="0083388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6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6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0904E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A3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A3AB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5A3A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2410423452768738"/>
          <c:y val="0.12021857923497267"/>
          <c:w val="0.65210859736035376"/>
          <c:h val="0.5142752661535285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Площадь выявленных очагов, га</c:v>
                </c:pt>
              </c:strCache>
            </c:strRef>
          </c:tx>
          <c:spPr>
            <a:solidFill>
              <a:srgbClr val="008000"/>
            </a:solidFill>
            <a:ln w="1004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1071.76</c:v>
                </c:pt>
                <c:pt idx="1">
                  <c:v>2108.94</c:v>
                </c:pt>
                <c:pt idx="2">
                  <c:v>1773.82</c:v>
                </c:pt>
                <c:pt idx="3">
                  <c:v>2689.6</c:v>
                </c:pt>
                <c:pt idx="4">
                  <c:v>2341.5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Площадь уничтоженных очагов, га</c:v>
                </c:pt>
              </c:strCache>
            </c:strRef>
          </c:tx>
          <c:spPr>
            <a:solidFill>
              <a:srgbClr val="FF9900"/>
            </a:solidFill>
            <a:ln w="1004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1041.0999999999999</c:v>
                </c:pt>
                <c:pt idx="1">
                  <c:v>2055.4</c:v>
                </c:pt>
                <c:pt idx="2">
                  <c:v>1420.31</c:v>
                </c:pt>
                <c:pt idx="3">
                  <c:v>2571.5</c:v>
                </c:pt>
                <c:pt idx="4">
                  <c:v>2170.1999999999998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25536"/>
        <c:axId val="52227072"/>
      </c:barChart>
      <c:catAx>
        <c:axId val="52225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251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2227072"/>
        <c:crosses val="autoZero"/>
        <c:auto val="0"/>
        <c:lblAlgn val="ctr"/>
        <c:lblOffset val="100"/>
        <c:tickMarkSkip val="1"/>
        <c:noMultiLvlLbl val="0"/>
      </c:catAx>
      <c:valAx>
        <c:axId val="5222707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251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22255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251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3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solidFill>
          <a:srgbClr val="FFFFFF"/>
        </a:solidFill>
        <a:ln w="1004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8755-302F-40D8-970C-3271F468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МСХ</Company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Каменьков</dc:creator>
  <cp:lastModifiedBy>Ястребова</cp:lastModifiedBy>
  <cp:revision>6</cp:revision>
  <cp:lastPrinted>2021-05-20T00:47:00Z</cp:lastPrinted>
  <dcterms:created xsi:type="dcterms:W3CDTF">2021-06-01T10:59:00Z</dcterms:created>
  <dcterms:modified xsi:type="dcterms:W3CDTF">2021-06-02T02:20:00Z</dcterms:modified>
</cp:coreProperties>
</file>