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Override PartName="/word/charts/colors6.xml" ContentType="application/vnd.ms-office.chartcolorstyle+xml"/>
  <Override PartName="/word/charts/style6.xml" ContentType="application/vnd.ms-office.chartstyle+xml"/>
  <Override PartName="/word/charts/colors7.xml" ContentType="application/vnd.ms-office.chartcolorstyle+xml"/>
  <Override PartName="/word/charts/style7.xml" ContentType="application/vnd.ms-office.chartstyle+xml"/>
  <Override PartName="/word/charts/colors8.xml" ContentType="application/vnd.ms-office.chartcolorstyle+xml"/>
  <Override PartName="/word/charts/style8.xml" ContentType="application/vnd.ms-office.chartstyle+xml"/>
  <Override PartName="/word/charts/colors9.xml" ContentType="application/vnd.ms-office.chartcolorstyle+xml"/>
  <Override PartName="/word/charts/style9.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3D8E6"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0C714E48"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42ECCF90"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F642481"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F059ADF"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E5D2A23"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02863595"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56D23474"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798706C5"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044E2684"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373C1E17"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38923389"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08BF211"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3B93CE38"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3458275"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71F18B60"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779B9474" w14:textId="7777777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13A07486" w14:textId="77777777" w:rsidR="00FC42E7" w:rsidRDefault="00FC42E7" w:rsidP="00FC42E7">
      <w:pPr>
        <w:widowControl w:val="0"/>
        <w:autoSpaceDE w:val="0"/>
        <w:autoSpaceDN w:val="0"/>
        <w:adjustRightInd w:val="0"/>
        <w:spacing w:after="0" w:line="240" w:lineRule="auto"/>
        <w:contextualSpacing/>
        <w:jc w:val="center"/>
        <w:rPr>
          <w:rFonts w:ascii="Times New Roman" w:eastAsia="Times New Roman" w:hAnsi="Times New Roman" w:cs="Times New Roman"/>
          <w:b/>
          <w:sz w:val="44"/>
          <w:szCs w:val="28"/>
          <w:lang w:eastAsia="ru-RU"/>
        </w:rPr>
      </w:pPr>
      <w:r w:rsidRPr="00FC42E7">
        <w:rPr>
          <w:rFonts w:ascii="Times New Roman" w:eastAsia="Times New Roman" w:hAnsi="Times New Roman" w:cs="Times New Roman"/>
          <w:b/>
          <w:sz w:val="44"/>
          <w:szCs w:val="28"/>
          <w:lang w:eastAsia="ru-RU"/>
        </w:rPr>
        <w:t xml:space="preserve">ОСНОВНЫЕ НАПРАВЛЕНИЯ </w:t>
      </w:r>
    </w:p>
    <w:p w14:paraId="3F302793" w14:textId="23266940" w:rsidR="004900CE" w:rsidRPr="00FC42E7" w:rsidRDefault="00FC42E7" w:rsidP="00FC42E7">
      <w:pPr>
        <w:widowControl w:val="0"/>
        <w:autoSpaceDE w:val="0"/>
        <w:autoSpaceDN w:val="0"/>
        <w:adjustRightInd w:val="0"/>
        <w:spacing w:after="0" w:line="240" w:lineRule="auto"/>
        <w:contextualSpacing/>
        <w:jc w:val="center"/>
        <w:rPr>
          <w:rFonts w:ascii="Times New Roman" w:eastAsia="Times New Roman" w:hAnsi="Times New Roman" w:cs="Times New Roman"/>
          <w:b/>
          <w:sz w:val="44"/>
          <w:szCs w:val="28"/>
          <w:lang w:eastAsia="ru-RU"/>
        </w:rPr>
      </w:pPr>
      <w:r w:rsidRPr="00FC42E7">
        <w:rPr>
          <w:rFonts w:ascii="Times New Roman" w:eastAsia="Times New Roman" w:hAnsi="Times New Roman" w:cs="Times New Roman"/>
          <w:b/>
          <w:sz w:val="44"/>
          <w:szCs w:val="28"/>
          <w:lang w:eastAsia="ru-RU"/>
        </w:rPr>
        <w:t>БЮДЖЕТНОЙ И НАЛОГОВОЙ ПОЛИТИКИ ИРКУТСКОЙ ОБЛАСТИ НА 2018 ГОД И НА ПЛАНОВЫЙ ПЕРИОД 2019 И 2020 ГОДОВ</w:t>
      </w:r>
    </w:p>
    <w:p w14:paraId="1D209D1E" w14:textId="49923EEE"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0A85001D" w14:textId="3CBB027F"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6D5B85DF" w14:textId="635EAB23"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41D83A1A" w14:textId="096C8E5D"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49E3A3D" w14:textId="119F91D2"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31A9D1CC" w14:textId="5EDB4428"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1CD2A519" w14:textId="06C1EC15" w:rsidR="00FC42E7" w:rsidRDefault="00FC42E7" w:rsidP="00FC42E7">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588AA07E" w14:textId="4B398CDB"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79DD7F3A" w14:textId="7BF709D5"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4F4127BD" w14:textId="1E275B5B"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66E8877A" w14:textId="37DCC1AB"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AFE91DE" w14:textId="7B67116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3C139833" w14:textId="06094CBA"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DD13AA9" w14:textId="42A3D5C3"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24C781A" w14:textId="40EC40B8"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427BBD18" w14:textId="7A1B7365"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0A26E10E" w14:textId="1D4AAA6C"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5478A04A" w14:textId="2424AE05"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E34B4E8" w14:textId="42544616"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36119841" w14:textId="1389A8AE"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318D129" w14:textId="0A1CE358"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114A6B75" w14:textId="17C6BC4F"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3E32E071" w14:textId="060516DA"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67906EE2" w14:textId="28245745" w:rsidR="00A26A8F" w:rsidRDefault="00A26A8F"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sdt>
      <w:sdtPr>
        <w:rPr>
          <w:rFonts w:asciiTheme="minorHAnsi" w:eastAsiaTheme="minorHAnsi" w:hAnsiTheme="minorHAnsi" w:cstheme="minorBidi"/>
          <w:color w:val="auto"/>
          <w:sz w:val="22"/>
          <w:szCs w:val="22"/>
          <w:lang w:eastAsia="en-US"/>
        </w:rPr>
        <w:id w:val="2055042404"/>
        <w:docPartObj>
          <w:docPartGallery w:val="Table of Contents"/>
          <w:docPartUnique/>
        </w:docPartObj>
      </w:sdtPr>
      <w:sdtEndPr>
        <w:rPr>
          <w:b/>
          <w:bCs/>
        </w:rPr>
      </w:sdtEndPr>
      <w:sdtContent>
        <w:p w14:paraId="3D577A73" w14:textId="79F814B4" w:rsidR="002F18A1" w:rsidRPr="009C44B5" w:rsidRDefault="002F18A1">
          <w:pPr>
            <w:pStyle w:val="af1"/>
            <w:rPr>
              <w:rFonts w:ascii="Times New Roman" w:hAnsi="Times New Roman"/>
              <w:color w:val="auto"/>
              <w:sz w:val="36"/>
              <w:szCs w:val="36"/>
            </w:rPr>
          </w:pPr>
          <w:r w:rsidRPr="009C44B5">
            <w:rPr>
              <w:rFonts w:ascii="Times New Roman" w:hAnsi="Times New Roman"/>
              <w:color w:val="auto"/>
              <w:sz w:val="36"/>
              <w:szCs w:val="36"/>
            </w:rPr>
            <w:t>Оглавление</w:t>
          </w:r>
        </w:p>
        <w:p w14:paraId="045C5585" w14:textId="67AB2733" w:rsidR="002F18A1" w:rsidRPr="002F18A1" w:rsidRDefault="002F18A1">
          <w:pPr>
            <w:pStyle w:val="11"/>
            <w:tabs>
              <w:tab w:val="left" w:pos="440"/>
              <w:tab w:val="right" w:leader="dot" w:pos="10196"/>
            </w:tabs>
            <w:rPr>
              <w:rFonts w:ascii="Times New Roman" w:eastAsiaTheme="minorEastAsia" w:hAnsi="Times New Roman"/>
              <w:b w:val="0"/>
              <w:bCs w:val="0"/>
              <w:caps w:val="0"/>
              <w:noProof/>
              <w:sz w:val="26"/>
              <w:szCs w:val="22"/>
              <w:lang w:eastAsia="ru-RU"/>
            </w:rPr>
          </w:pPr>
          <w:r w:rsidRPr="002F18A1">
            <w:rPr>
              <w:rFonts w:ascii="Times New Roman" w:hAnsi="Times New Roman"/>
              <w:b w:val="0"/>
              <w:bCs w:val="0"/>
              <w:caps w:val="0"/>
              <w:sz w:val="26"/>
            </w:rPr>
            <w:fldChar w:fldCharType="begin"/>
          </w:r>
          <w:r w:rsidRPr="002F18A1">
            <w:rPr>
              <w:rFonts w:ascii="Times New Roman" w:hAnsi="Times New Roman"/>
              <w:b w:val="0"/>
              <w:bCs w:val="0"/>
              <w:caps w:val="0"/>
              <w:sz w:val="26"/>
            </w:rPr>
            <w:instrText xml:space="preserve"> TOC \o "1-3" \h \z \u </w:instrText>
          </w:r>
          <w:r w:rsidRPr="002F18A1">
            <w:rPr>
              <w:rFonts w:ascii="Times New Roman" w:hAnsi="Times New Roman"/>
              <w:b w:val="0"/>
              <w:bCs w:val="0"/>
              <w:caps w:val="0"/>
              <w:sz w:val="26"/>
            </w:rPr>
            <w:fldChar w:fldCharType="separate"/>
          </w:r>
          <w:hyperlink w:anchor="_Toc496702975" w:history="1">
            <w:r w:rsidRPr="002F18A1">
              <w:rPr>
                <w:rStyle w:val="af2"/>
                <w:rFonts w:ascii="Times New Roman" w:hAnsi="Times New Roman" w:cs="Times New Roman"/>
                <w:b w:val="0"/>
                <w:noProof/>
                <w:sz w:val="26"/>
              </w:rPr>
              <w:t>I.</w:t>
            </w:r>
            <w:r w:rsidRPr="002F18A1">
              <w:rPr>
                <w:rFonts w:ascii="Times New Roman" w:eastAsiaTheme="minorEastAsia" w:hAnsi="Times New Roman"/>
                <w:b w:val="0"/>
                <w:bCs w:val="0"/>
                <w:caps w:val="0"/>
                <w:noProof/>
                <w:sz w:val="26"/>
                <w:szCs w:val="22"/>
                <w:lang w:eastAsia="ru-RU"/>
              </w:rPr>
              <w:tab/>
            </w:r>
            <w:r w:rsidRPr="002F18A1">
              <w:rPr>
                <w:rStyle w:val="af2"/>
                <w:rFonts w:ascii="Times New Roman" w:hAnsi="Times New Roman" w:cs="Times New Roman"/>
                <w:b w:val="0"/>
                <w:noProof/>
                <w:sz w:val="26"/>
              </w:rPr>
              <w:t>Итоги реализации бюджетной и налоговой политики в 2016 -2017 годах</w:t>
            </w:r>
            <w:r w:rsidRPr="002F18A1">
              <w:rPr>
                <w:rFonts w:ascii="Times New Roman" w:hAnsi="Times New Roman"/>
                <w:b w:val="0"/>
                <w:noProof/>
                <w:webHidden/>
                <w:sz w:val="26"/>
              </w:rPr>
              <w:tab/>
            </w:r>
            <w:r w:rsidRPr="002F18A1">
              <w:rPr>
                <w:rFonts w:ascii="Times New Roman" w:hAnsi="Times New Roman"/>
                <w:b w:val="0"/>
                <w:noProof/>
                <w:webHidden/>
                <w:sz w:val="26"/>
              </w:rPr>
              <w:fldChar w:fldCharType="begin"/>
            </w:r>
            <w:r w:rsidRPr="002F18A1">
              <w:rPr>
                <w:rFonts w:ascii="Times New Roman" w:hAnsi="Times New Roman"/>
                <w:b w:val="0"/>
                <w:noProof/>
                <w:webHidden/>
                <w:sz w:val="26"/>
              </w:rPr>
              <w:instrText xml:space="preserve"> PAGEREF _Toc496702975 \h </w:instrText>
            </w:r>
            <w:r w:rsidRPr="002F18A1">
              <w:rPr>
                <w:rFonts w:ascii="Times New Roman" w:hAnsi="Times New Roman"/>
                <w:b w:val="0"/>
                <w:noProof/>
                <w:webHidden/>
                <w:sz w:val="26"/>
              </w:rPr>
            </w:r>
            <w:r w:rsidRPr="002F18A1">
              <w:rPr>
                <w:rFonts w:ascii="Times New Roman" w:hAnsi="Times New Roman"/>
                <w:b w:val="0"/>
                <w:noProof/>
                <w:webHidden/>
                <w:sz w:val="26"/>
              </w:rPr>
              <w:fldChar w:fldCharType="separate"/>
            </w:r>
            <w:r w:rsidR="00D817C2">
              <w:rPr>
                <w:rFonts w:ascii="Times New Roman" w:hAnsi="Times New Roman"/>
                <w:b w:val="0"/>
                <w:noProof/>
                <w:webHidden/>
                <w:sz w:val="26"/>
              </w:rPr>
              <w:t>3</w:t>
            </w:r>
            <w:r w:rsidRPr="002F18A1">
              <w:rPr>
                <w:rFonts w:ascii="Times New Roman" w:hAnsi="Times New Roman"/>
                <w:b w:val="0"/>
                <w:noProof/>
                <w:webHidden/>
                <w:sz w:val="26"/>
              </w:rPr>
              <w:fldChar w:fldCharType="end"/>
            </w:r>
          </w:hyperlink>
        </w:p>
        <w:p w14:paraId="6549882F" w14:textId="3B9102ED" w:rsidR="002F18A1" w:rsidRPr="002F18A1" w:rsidRDefault="000923C3">
          <w:pPr>
            <w:pStyle w:val="21"/>
            <w:tabs>
              <w:tab w:val="left" w:pos="660"/>
              <w:tab w:val="right" w:leader="dot" w:pos="10196"/>
            </w:tabs>
            <w:rPr>
              <w:rFonts w:ascii="Times New Roman" w:eastAsiaTheme="minorEastAsia" w:hAnsi="Times New Roman"/>
              <w:smallCaps w:val="0"/>
              <w:noProof/>
              <w:sz w:val="26"/>
              <w:szCs w:val="22"/>
              <w:lang w:eastAsia="ru-RU"/>
            </w:rPr>
          </w:pPr>
          <w:hyperlink w:anchor="_Toc496702976" w:history="1">
            <w:r w:rsidR="002F18A1" w:rsidRPr="002F18A1">
              <w:rPr>
                <w:rStyle w:val="af2"/>
                <w:rFonts w:ascii="Times New Roman" w:eastAsia="Times New Roman" w:hAnsi="Times New Roman" w:cs="Times New Roman"/>
                <w:noProof/>
                <w:sz w:val="26"/>
                <w:lang w:eastAsia="ru-RU"/>
              </w:rPr>
              <w:t>1.</w:t>
            </w:r>
            <w:r w:rsidR="002F18A1" w:rsidRPr="002F18A1">
              <w:rPr>
                <w:rFonts w:ascii="Times New Roman" w:eastAsiaTheme="minorEastAsia" w:hAnsi="Times New Roman"/>
                <w:smallCaps w:val="0"/>
                <w:noProof/>
                <w:sz w:val="26"/>
                <w:szCs w:val="22"/>
                <w:lang w:eastAsia="ru-RU"/>
              </w:rPr>
              <w:tab/>
            </w:r>
            <w:r w:rsidR="002F18A1" w:rsidRPr="002F18A1">
              <w:rPr>
                <w:rStyle w:val="af2"/>
                <w:rFonts w:ascii="Times New Roman" w:eastAsia="Times New Roman" w:hAnsi="Times New Roman" w:cs="Times New Roman"/>
                <w:noProof/>
                <w:sz w:val="26"/>
                <w:lang w:eastAsia="ru-RU"/>
              </w:rPr>
              <w:t>Итоги реализации налоговой политики в 2016 -2017 годах</w:t>
            </w:r>
            <w:r w:rsidR="002F18A1" w:rsidRPr="002F18A1">
              <w:rPr>
                <w:rFonts w:ascii="Times New Roman" w:hAnsi="Times New Roman"/>
                <w:noProof/>
                <w:webHidden/>
                <w:sz w:val="26"/>
              </w:rPr>
              <w:tab/>
            </w:r>
            <w:r w:rsidR="002F18A1" w:rsidRPr="002F18A1">
              <w:rPr>
                <w:rFonts w:ascii="Times New Roman" w:hAnsi="Times New Roman"/>
                <w:noProof/>
                <w:webHidden/>
                <w:sz w:val="26"/>
              </w:rPr>
              <w:fldChar w:fldCharType="begin"/>
            </w:r>
            <w:r w:rsidR="002F18A1" w:rsidRPr="002F18A1">
              <w:rPr>
                <w:rFonts w:ascii="Times New Roman" w:hAnsi="Times New Roman"/>
                <w:noProof/>
                <w:webHidden/>
                <w:sz w:val="26"/>
              </w:rPr>
              <w:instrText xml:space="preserve"> PAGEREF _Toc496702976 \h </w:instrText>
            </w:r>
            <w:r w:rsidR="002F18A1" w:rsidRPr="002F18A1">
              <w:rPr>
                <w:rFonts w:ascii="Times New Roman" w:hAnsi="Times New Roman"/>
                <w:noProof/>
                <w:webHidden/>
                <w:sz w:val="26"/>
              </w:rPr>
            </w:r>
            <w:r w:rsidR="002F18A1" w:rsidRPr="002F18A1">
              <w:rPr>
                <w:rFonts w:ascii="Times New Roman" w:hAnsi="Times New Roman"/>
                <w:noProof/>
                <w:webHidden/>
                <w:sz w:val="26"/>
              </w:rPr>
              <w:fldChar w:fldCharType="separate"/>
            </w:r>
            <w:r w:rsidR="00D817C2">
              <w:rPr>
                <w:rFonts w:ascii="Times New Roman" w:hAnsi="Times New Roman"/>
                <w:noProof/>
                <w:webHidden/>
                <w:sz w:val="26"/>
              </w:rPr>
              <w:t>3</w:t>
            </w:r>
            <w:r w:rsidR="002F18A1" w:rsidRPr="002F18A1">
              <w:rPr>
                <w:rFonts w:ascii="Times New Roman" w:hAnsi="Times New Roman"/>
                <w:noProof/>
                <w:webHidden/>
                <w:sz w:val="26"/>
              </w:rPr>
              <w:fldChar w:fldCharType="end"/>
            </w:r>
          </w:hyperlink>
        </w:p>
        <w:p w14:paraId="50FA6E1B" w14:textId="77C607CF" w:rsidR="002F18A1" w:rsidRPr="002F18A1" w:rsidRDefault="000923C3">
          <w:pPr>
            <w:pStyle w:val="31"/>
            <w:tabs>
              <w:tab w:val="right" w:leader="dot" w:pos="10196"/>
            </w:tabs>
            <w:rPr>
              <w:rFonts w:ascii="Times New Roman" w:eastAsiaTheme="minorEastAsia" w:hAnsi="Times New Roman"/>
              <w:i w:val="0"/>
              <w:iCs w:val="0"/>
              <w:noProof/>
              <w:sz w:val="26"/>
              <w:szCs w:val="22"/>
              <w:lang w:eastAsia="ru-RU"/>
            </w:rPr>
          </w:pPr>
          <w:hyperlink w:anchor="_Toc496702977" w:history="1">
            <w:r w:rsidR="002F18A1" w:rsidRPr="002F18A1">
              <w:rPr>
                <w:rStyle w:val="af2"/>
                <w:rFonts w:ascii="Times New Roman" w:eastAsia="Calibri" w:hAnsi="Times New Roman" w:cs="Times New Roman"/>
                <w:i w:val="0"/>
                <w:noProof/>
                <w:sz w:val="26"/>
              </w:rPr>
              <w:t>1.1 Региональная налоговая нагрузка на субъекты предпринимательской деятельности в Иркутской области и субъектах Российской Федерации</w:t>
            </w:r>
            <w:r w:rsidR="002F18A1" w:rsidRPr="002F18A1">
              <w:rPr>
                <w:rFonts w:ascii="Times New Roman" w:hAnsi="Times New Roman"/>
                <w:i w:val="0"/>
                <w:noProof/>
                <w:webHidden/>
                <w:sz w:val="26"/>
              </w:rPr>
              <w:tab/>
            </w:r>
            <w:r w:rsidR="002F18A1" w:rsidRPr="002F18A1">
              <w:rPr>
                <w:rFonts w:ascii="Times New Roman" w:hAnsi="Times New Roman"/>
                <w:i w:val="0"/>
                <w:noProof/>
                <w:webHidden/>
                <w:sz w:val="26"/>
              </w:rPr>
              <w:fldChar w:fldCharType="begin"/>
            </w:r>
            <w:r w:rsidR="002F18A1" w:rsidRPr="002F18A1">
              <w:rPr>
                <w:rFonts w:ascii="Times New Roman" w:hAnsi="Times New Roman"/>
                <w:i w:val="0"/>
                <w:noProof/>
                <w:webHidden/>
                <w:sz w:val="26"/>
              </w:rPr>
              <w:instrText xml:space="preserve"> PAGEREF _Toc496702977 \h </w:instrText>
            </w:r>
            <w:r w:rsidR="002F18A1" w:rsidRPr="002F18A1">
              <w:rPr>
                <w:rFonts w:ascii="Times New Roman" w:hAnsi="Times New Roman"/>
                <w:i w:val="0"/>
                <w:noProof/>
                <w:webHidden/>
                <w:sz w:val="26"/>
              </w:rPr>
            </w:r>
            <w:r w:rsidR="002F18A1" w:rsidRPr="002F18A1">
              <w:rPr>
                <w:rFonts w:ascii="Times New Roman" w:hAnsi="Times New Roman"/>
                <w:i w:val="0"/>
                <w:noProof/>
                <w:webHidden/>
                <w:sz w:val="26"/>
              </w:rPr>
              <w:fldChar w:fldCharType="separate"/>
            </w:r>
            <w:r w:rsidR="00D817C2">
              <w:rPr>
                <w:rFonts w:ascii="Times New Roman" w:hAnsi="Times New Roman"/>
                <w:i w:val="0"/>
                <w:noProof/>
                <w:webHidden/>
                <w:sz w:val="26"/>
              </w:rPr>
              <w:t>4</w:t>
            </w:r>
            <w:r w:rsidR="002F18A1" w:rsidRPr="002F18A1">
              <w:rPr>
                <w:rFonts w:ascii="Times New Roman" w:hAnsi="Times New Roman"/>
                <w:i w:val="0"/>
                <w:noProof/>
                <w:webHidden/>
                <w:sz w:val="26"/>
              </w:rPr>
              <w:fldChar w:fldCharType="end"/>
            </w:r>
          </w:hyperlink>
        </w:p>
        <w:p w14:paraId="325EE564" w14:textId="78A41AFE" w:rsidR="002F18A1" w:rsidRPr="002F18A1" w:rsidRDefault="000923C3">
          <w:pPr>
            <w:pStyle w:val="31"/>
            <w:tabs>
              <w:tab w:val="right" w:leader="dot" w:pos="10196"/>
            </w:tabs>
            <w:rPr>
              <w:rFonts w:ascii="Times New Roman" w:eastAsiaTheme="minorEastAsia" w:hAnsi="Times New Roman"/>
              <w:i w:val="0"/>
              <w:iCs w:val="0"/>
              <w:noProof/>
              <w:sz w:val="26"/>
              <w:szCs w:val="22"/>
              <w:lang w:eastAsia="ru-RU"/>
            </w:rPr>
          </w:pPr>
          <w:hyperlink w:anchor="_Toc496702978" w:history="1">
            <w:r w:rsidR="002F18A1" w:rsidRPr="002F18A1">
              <w:rPr>
                <w:rStyle w:val="af2"/>
                <w:rFonts w:ascii="Times New Roman" w:hAnsi="Times New Roman" w:cs="Times New Roman"/>
                <w:i w:val="0"/>
                <w:noProof/>
                <w:sz w:val="26"/>
              </w:rPr>
              <w:t>1.2 Анализ принятых решений в области налоговой политики и их последствий</w:t>
            </w:r>
            <w:r w:rsidR="002F18A1" w:rsidRPr="002F18A1">
              <w:rPr>
                <w:rFonts w:ascii="Times New Roman" w:hAnsi="Times New Roman"/>
                <w:i w:val="0"/>
                <w:noProof/>
                <w:webHidden/>
                <w:sz w:val="26"/>
              </w:rPr>
              <w:tab/>
            </w:r>
            <w:r w:rsidR="002F18A1" w:rsidRPr="002F18A1">
              <w:rPr>
                <w:rFonts w:ascii="Times New Roman" w:hAnsi="Times New Roman"/>
                <w:i w:val="0"/>
                <w:noProof/>
                <w:webHidden/>
                <w:sz w:val="26"/>
              </w:rPr>
              <w:fldChar w:fldCharType="begin"/>
            </w:r>
            <w:r w:rsidR="002F18A1" w:rsidRPr="002F18A1">
              <w:rPr>
                <w:rFonts w:ascii="Times New Roman" w:hAnsi="Times New Roman"/>
                <w:i w:val="0"/>
                <w:noProof/>
                <w:webHidden/>
                <w:sz w:val="26"/>
              </w:rPr>
              <w:instrText xml:space="preserve"> PAGEREF _Toc496702978 \h </w:instrText>
            </w:r>
            <w:r w:rsidR="002F18A1" w:rsidRPr="002F18A1">
              <w:rPr>
                <w:rFonts w:ascii="Times New Roman" w:hAnsi="Times New Roman"/>
                <w:i w:val="0"/>
                <w:noProof/>
                <w:webHidden/>
                <w:sz w:val="26"/>
              </w:rPr>
            </w:r>
            <w:r w:rsidR="002F18A1" w:rsidRPr="002F18A1">
              <w:rPr>
                <w:rFonts w:ascii="Times New Roman" w:hAnsi="Times New Roman"/>
                <w:i w:val="0"/>
                <w:noProof/>
                <w:webHidden/>
                <w:sz w:val="26"/>
              </w:rPr>
              <w:fldChar w:fldCharType="separate"/>
            </w:r>
            <w:r w:rsidR="00D817C2">
              <w:rPr>
                <w:rFonts w:ascii="Times New Roman" w:hAnsi="Times New Roman"/>
                <w:i w:val="0"/>
                <w:noProof/>
                <w:webHidden/>
                <w:sz w:val="26"/>
              </w:rPr>
              <w:t>7</w:t>
            </w:r>
            <w:r w:rsidR="002F18A1" w:rsidRPr="002F18A1">
              <w:rPr>
                <w:rFonts w:ascii="Times New Roman" w:hAnsi="Times New Roman"/>
                <w:i w:val="0"/>
                <w:noProof/>
                <w:webHidden/>
                <w:sz w:val="26"/>
              </w:rPr>
              <w:fldChar w:fldCharType="end"/>
            </w:r>
          </w:hyperlink>
        </w:p>
        <w:p w14:paraId="7D92F029" w14:textId="5342372B" w:rsidR="002F18A1" w:rsidRPr="002F18A1" w:rsidRDefault="000923C3">
          <w:pPr>
            <w:pStyle w:val="31"/>
            <w:tabs>
              <w:tab w:val="right" w:leader="dot" w:pos="10196"/>
            </w:tabs>
            <w:rPr>
              <w:rFonts w:ascii="Times New Roman" w:eastAsiaTheme="minorEastAsia" w:hAnsi="Times New Roman"/>
              <w:i w:val="0"/>
              <w:iCs w:val="0"/>
              <w:noProof/>
              <w:sz w:val="26"/>
              <w:szCs w:val="22"/>
              <w:lang w:eastAsia="ru-RU"/>
            </w:rPr>
          </w:pPr>
          <w:hyperlink w:anchor="_Toc496702979" w:history="1">
            <w:r w:rsidR="002F18A1" w:rsidRPr="002F18A1">
              <w:rPr>
                <w:rStyle w:val="af2"/>
                <w:rFonts w:ascii="Times New Roman" w:hAnsi="Times New Roman" w:cs="Times New Roman"/>
                <w:i w:val="0"/>
                <w:noProof/>
                <w:sz w:val="26"/>
              </w:rPr>
              <w:t>1.3 Налоговые расходы бюджетной системы Иркутской области</w:t>
            </w:r>
            <w:r w:rsidR="002F18A1" w:rsidRPr="002F18A1">
              <w:rPr>
                <w:rFonts w:ascii="Times New Roman" w:hAnsi="Times New Roman"/>
                <w:i w:val="0"/>
                <w:noProof/>
                <w:webHidden/>
                <w:sz w:val="26"/>
              </w:rPr>
              <w:tab/>
            </w:r>
            <w:r w:rsidR="002F18A1" w:rsidRPr="002F18A1">
              <w:rPr>
                <w:rFonts w:ascii="Times New Roman" w:hAnsi="Times New Roman"/>
                <w:i w:val="0"/>
                <w:noProof/>
                <w:webHidden/>
                <w:sz w:val="26"/>
              </w:rPr>
              <w:fldChar w:fldCharType="begin"/>
            </w:r>
            <w:r w:rsidR="002F18A1" w:rsidRPr="002F18A1">
              <w:rPr>
                <w:rFonts w:ascii="Times New Roman" w:hAnsi="Times New Roman"/>
                <w:i w:val="0"/>
                <w:noProof/>
                <w:webHidden/>
                <w:sz w:val="26"/>
              </w:rPr>
              <w:instrText xml:space="preserve"> PAGEREF _Toc496702979 \h </w:instrText>
            </w:r>
            <w:r w:rsidR="002F18A1" w:rsidRPr="002F18A1">
              <w:rPr>
                <w:rFonts w:ascii="Times New Roman" w:hAnsi="Times New Roman"/>
                <w:i w:val="0"/>
                <w:noProof/>
                <w:webHidden/>
                <w:sz w:val="26"/>
              </w:rPr>
            </w:r>
            <w:r w:rsidR="002F18A1" w:rsidRPr="002F18A1">
              <w:rPr>
                <w:rFonts w:ascii="Times New Roman" w:hAnsi="Times New Roman"/>
                <w:i w:val="0"/>
                <w:noProof/>
                <w:webHidden/>
                <w:sz w:val="26"/>
              </w:rPr>
              <w:fldChar w:fldCharType="separate"/>
            </w:r>
            <w:r w:rsidR="00D817C2">
              <w:rPr>
                <w:rFonts w:ascii="Times New Roman" w:hAnsi="Times New Roman"/>
                <w:i w:val="0"/>
                <w:noProof/>
                <w:webHidden/>
                <w:sz w:val="26"/>
              </w:rPr>
              <w:t>9</w:t>
            </w:r>
            <w:r w:rsidR="002F18A1" w:rsidRPr="002F18A1">
              <w:rPr>
                <w:rFonts w:ascii="Times New Roman" w:hAnsi="Times New Roman"/>
                <w:i w:val="0"/>
                <w:noProof/>
                <w:webHidden/>
                <w:sz w:val="26"/>
              </w:rPr>
              <w:fldChar w:fldCharType="end"/>
            </w:r>
          </w:hyperlink>
        </w:p>
        <w:p w14:paraId="09145600" w14:textId="1C19A92B" w:rsidR="002F18A1" w:rsidRPr="002F18A1" w:rsidRDefault="000923C3">
          <w:pPr>
            <w:pStyle w:val="21"/>
            <w:tabs>
              <w:tab w:val="right" w:leader="dot" w:pos="10196"/>
            </w:tabs>
            <w:rPr>
              <w:rFonts w:ascii="Times New Roman" w:eastAsiaTheme="minorEastAsia" w:hAnsi="Times New Roman"/>
              <w:smallCaps w:val="0"/>
              <w:noProof/>
              <w:sz w:val="26"/>
              <w:szCs w:val="22"/>
              <w:lang w:eastAsia="ru-RU"/>
            </w:rPr>
          </w:pPr>
          <w:hyperlink w:anchor="_Toc496702980" w:history="1">
            <w:r w:rsidR="002F18A1" w:rsidRPr="002F18A1">
              <w:rPr>
                <w:rStyle w:val="af2"/>
                <w:rFonts w:ascii="Times New Roman" w:eastAsia="Times New Roman" w:hAnsi="Times New Roman" w:cs="Times New Roman"/>
                <w:noProof/>
                <w:sz w:val="26"/>
                <w:lang w:eastAsia="ru-RU"/>
              </w:rPr>
              <w:t>2.   Итоги реализации бюджетной политики в 2016 -2017 годах</w:t>
            </w:r>
            <w:r w:rsidR="002F18A1" w:rsidRPr="002F18A1">
              <w:rPr>
                <w:rFonts w:ascii="Times New Roman" w:hAnsi="Times New Roman"/>
                <w:noProof/>
                <w:webHidden/>
                <w:sz w:val="26"/>
              </w:rPr>
              <w:tab/>
            </w:r>
            <w:r w:rsidR="002F18A1" w:rsidRPr="002F18A1">
              <w:rPr>
                <w:rFonts w:ascii="Times New Roman" w:hAnsi="Times New Roman"/>
                <w:noProof/>
                <w:webHidden/>
                <w:sz w:val="26"/>
              </w:rPr>
              <w:fldChar w:fldCharType="begin"/>
            </w:r>
            <w:r w:rsidR="002F18A1" w:rsidRPr="002F18A1">
              <w:rPr>
                <w:rFonts w:ascii="Times New Roman" w:hAnsi="Times New Roman"/>
                <w:noProof/>
                <w:webHidden/>
                <w:sz w:val="26"/>
              </w:rPr>
              <w:instrText xml:space="preserve"> PAGEREF _Toc496702980 \h </w:instrText>
            </w:r>
            <w:r w:rsidR="002F18A1" w:rsidRPr="002F18A1">
              <w:rPr>
                <w:rFonts w:ascii="Times New Roman" w:hAnsi="Times New Roman"/>
                <w:noProof/>
                <w:webHidden/>
                <w:sz w:val="26"/>
              </w:rPr>
            </w:r>
            <w:r w:rsidR="002F18A1" w:rsidRPr="002F18A1">
              <w:rPr>
                <w:rFonts w:ascii="Times New Roman" w:hAnsi="Times New Roman"/>
                <w:noProof/>
                <w:webHidden/>
                <w:sz w:val="26"/>
              </w:rPr>
              <w:fldChar w:fldCharType="separate"/>
            </w:r>
            <w:r w:rsidR="00D817C2">
              <w:rPr>
                <w:rFonts w:ascii="Times New Roman" w:hAnsi="Times New Roman"/>
                <w:noProof/>
                <w:webHidden/>
                <w:sz w:val="26"/>
              </w:rPr>
              <w:t>10</w:t>
            </w:r>
            <w:r w:rsidR="002F18A1" w:rsidRPr="002F18A1">
              <w:rPr>
                <w:rFonts w:ascii="Times New Roman" w:hAnsi="Times New Roman"/>
                <w:noProof/>
                <w:webHidden/>
                <w:sz w:val="26"/>
              </w:rPr>
              <w:fldChar w:fldCharType="end"/>
            </w:r>
          </w:hyperlink>
        </w:p>
        <w:p w14:paraId="6C33F046" w14:textId="611A5681" w:rsidR="002F18A1" w:rsidRPr="002F18A1" w:rsidRDefault="000923C3">
          <w:pPr>
            <w:pStyle w:val="11"/>
            <w:tabs>
              <w:tab w:val="right" w:leader="dot" w:pos="10196"/>
            </w:tabs>
            <w:rPr>
              <w:rFonts w:ascii="Times New Roman" w:eastAsiaTheme="minorEastAsia" w:hAnsi="Times New Roman"/>
              <w:b w:val="0"/>
              <w:bCs w:val="0"/>
              <w:caps w:val="0"/>
              <w:noProof/>
              <w:sz w:val="26"/>
              <w:szCs w:val="22"/>
              <w:lang w:eastAsia="ru-RU"/>
            </w:rPr>
          </w:pPr>
          <w:hyperlink w:anchor="_Toc496702981" w:history="1">
            <w:r w:rsidR="002F18A1" w:rsidRPr="002F18A1">
              <w:rPr>
                <w:rStyle w:val="af2"/>
                <w:rFonts w:ascii="Times New Roman" w:hAnsi="Times New Roman" w:cs="Times New Roman"/>
                <w:b w:val="0"/>
                <w:noProof/>
                <w:sz w:val="26"/>
              </w:rPr>
              <w:t>II. Основные направления бюджетной и налоговой политики  на 2018 - 2020 годы</w:t>
            </w:r>
            <w:r w:rsidR="002F18A1" w:rsidRPr="002F18A1">
              <w:rPr>
                <w:rFonts w:ascii="Times New Roman" w:hAnsi="Times New Roman"/>
                <w:b w:val="0"/>
                <w:noProof/>
                <w:webHidden/>
                <w:sz w:val="26"/>
              </w:rPr>
              <w:tab/>
            </w:r>
            <w:r w:rsidR="002F18A1" w:rsidRPr="002F18A1">
              <w:rPr>
                <w:rFonts w:ascii="Times New Roman" w:hAnsi="Times New Roman"/>
                <w:b w:val="0"/>
                <w:noProof/>
                <w:webHidden/>
                <w:sz w:val="26"/>
              </w:rPr>
              <w:fldChar w:fldCharType="begin"/>
            </w:r>
            <w:r w:rsidR="002F18A1" w:rsidRPr="002F18A1">
              <w:rPr>
                <w:rFonts w:ascii="Times New Roman" w:hAnsi="Times New Roman"/>
                <w:b w:val="0"/>
                <w:noProof/>
                <w:webHidden/>
                <w:sz w:val="26"/>
              </w:rPr>
              <w:instrText xml:space="preserve"> PAGEREF _Toc496702981 \h </w:instrText>
            </w:r>
            <w:r w:rsidR="002F18A1" w:rsidRPr="002F18A1">
              <w:rPr>
                <w:rFonts w:ascii="Times New Roman" w:hAnsi="Times New Roman"/>
                <w:b w:val="0"/>
                <w:noProof/>
                <w:webHidden/>
                <w:sz w:val="26"/>
              </w:rPr>
            </w:r>
            <w:r w:rsidR="002F18A1" w:rsidRPr="002F18A1">
              <w:rPr>
                <w:rFonts w:ascii="Times New Roman" w:hAnsi="Times New Roman"/>
                <w:b w:val="0"/>
                <w:noProof/>
                <w:webHidden/>
                <w:sz w:val="26"/>
              </w:rPr>
              <w:fldChar w:fldCharType="separate"/>
            </w:r>
            <w:r w:rsidR="00D817C2">
              <w:rPr>
                <w:rFonts w:ascii="Times New Roman" w:hAnsi="Times New Roman"/>
                <w:b w:val="0"/>
                <w:noProof/>
                <w:webHidden/>
                <w:sz w:val="26"/>
              </w:rPr>
              <w:t>15</w:t>
            </w:r>
            <w:r w:rsidR="002F18A1" w:rsidRPr="002F18A1">
              <w:rPr>
                <w:rFonts w:ascii="Times New Roman" w:hAnsi="Times New Roman"/>
                <w:b w:val="0"/>
                <w:noProof/>
                <w:webHidden/>
                <w:sz w:val="26"/>
              </w:rPr>
              <w:fldChar w:fldCharType="end"/>
            </w:r>
          </w:hyperlink>
        </w:p>
        <w:p w14:paraId="1F95A910" w14:textId="16706036" w:rsidR="002F18A1" w:rsidRPr="002F18A1" w:rsidRDefault="000923C3">
          <w:pPr>
            <w:pStyle w:val="21"/>
            <w:tabs>
              <w:tab w:val="right" w:leader="dot" w:pos="10196"/>
            </w:tabs>
            <w:rPr>
              <w:rFonts w:ascii="Times New Roman" w:eastAsiaTheme="minorEastAsia" w:hAnsi="Times New Roman"/>
              <w:smallCaps w:val="0"/>
              <w:noProof/>
              <w:sz w:val="26"/>
              <w:szCs w:val="22"/>
              <w:lang w:eastAsia="ru-RU"/>
            </w:rPr>
          </w:pPr>
          <w:hyperlink w:anchor="_Toc496702982" w:history="1">
            <w:r w:rsidR="002F18A1" w:rsidRPr="002F18A1">
              <w:rPr>
                <w:rStyle w:val="af2"/>
                <w:rFonts w:ascii="Times New Roman" w:eastAsia="Times New Roman" w:hAnsi="Times New Roman" w:cs="Times New Roman"/>
                <w:noProof/>
                <w:sz w:val="26"/>
                <w:lang w:eastAsia="ru-RU"/>
              </w:rPr>
              <w:t>1. Основные цели и задачи налоговой политики Иркутской области на 2018-2020 годы</w:t>
            </w:r>
            <w:r w:rsidR="002F18A1" w:rsidRPr="002F18A1">
              <w:rPr>
                <w:rFonts w:ascii="Times New Roman" w:hAnsi="Times New Roman"/>
                <w:noProof/>
                <w:webHidden/>
                <w:sz w:val="26"/>
              </w:rPr>
              <w:tab/>
            </w:r>
            <w:r w:rsidR="002F18A1" w:rsidRPr="002F18A1">
              <w:rPr>
                <w:rFonts w:ascii="Times New Roman" w:hAnsi="Times New Roman"/>
                <w:noProof/>
                <w:webHidden/>
                <w:sz w:val="26"/>
              </w:rPr>
              <w:fldChar w:fldCharType="begin"/>
            </w:r>
            <w:r w:rsidR="002F18A1" w:rsidRPr="002F18A1">
              <w:rPr>
                <w:rFonts w:ascii="Times New Roman" w:hAnsi="Times New Roman"/>
                <w:noProof/>
                <w:webHidden/>
                <w:sz w:val="26"/>
              </w:rPr>
              <w:instrText xml:space="preserve"> PAGEREF _Toc496702982 \h </w:instrText>
            </w:r>
            <w:r w:rsidR="002F18A1" w:rsidRPr="002F18A1">
              <w:rPr>
                <w:rFonts w:ascii="Times New Roman" w:hAnsi="Times New Roman"/>
                <w:noProof/>
                <w:webHidden/>
                <w:sz w:val="26"/>
              </w:rPr>
            </w:r>
            <w:r w:rsidR="002F18A1" w:rsidRPr="002F18A1">
              <w:rPr>
                <w:rFonts w:ascii="Times New Roman" w:hAnsi="Times New Roman"/>
                <w:noProof/>
                <w:webHidden/>
                <w:sz w:val="26"/>
              </w:rPr>
              <w:fldChar w:fldCharType="separate"/>
            </w:r>
            <w:r w:rsidR="00D817C2">
              <w:rPr>
                <w:rFonts w:ascii="Times New Roman" w:hAnsi="Times New Roman"/>
                <w:noProof/>
                <w:webHidden/>
                <w:sz w:val="26"/>
              </w:rPr>
              <w:t>16</w:t>
            </w:r>
            <w:r w:rsidR="002F18A1" w:rsidRPr="002F18A1">
              <w:rPr>
                <w:rFonts w:ascii="Times New Roman" w:hAnsi="Times New Roman"/>
                <w:noProof/>
                <w:webHidden/>
                <w:sz w:val="26"/>
              </w:rPr>
              <w:fldChar w:fldCharType="end"/>
            </w:r>
          </w:hyperlink>
        </w:p>
        <w:p w14:paraId="4B839990" w14:textId="3E8D95DD" w:rsidR="002F18A1" w:rsidRPr="002F18A1" w:rsidRDefault="000923C3">
          <w:pPr>
            <w:pStyle w:val="21"/>
            <w:tabs>
              <w:tab w:val="right" w:leader="dot" w:pos="10196"/>
            </w:tabs>
            <w:rPr>
              <w:rFonts w:ascii="Times New Roman" w:eastAsiaTheme="minorEastAsia" w:hAnsi="Times New Roman"/>
              <w:smallCaps w:val="0"/>
              <w:noProof/>
              <w:sz w:val="26"/>
              <w:szCs w:val="22"/>
              <w:lang w:eastAsia="ru-RU"/>
            </w:rPr>
          </w:pPr>
          <w:hyperlink w:anchor="_Toc496702983" w:history="1">
            <w:r w:rsidR="002F18A1" w:rsidRPr="002F18A1">
              <w:rPr>
                <w:rStyle w:val="af2"/>
                <w:rFonts w:ascii="Times New Roman" w:eastAsia="Times New Roman" w:hAnsi="Times New Roman" w:cs="Times New Roman"/>
                <w:noProof/>
                <w:sz w:val="26"/>
                <w:lang w:eastAsia="ru-RU"/>
              </w:rPr>
              <w:t>2. Основные направления бюджетной политики Иркутской области на 2018 -2020 годы</w:t>
            </w:r>
            <w:r w:rsidR="002F18A1" w:rsidRPr="002F18A1">
              <w:rPr>
                <w:rFonts w:ascii="Times New Roman" w:hAnsi="Times New Roman"/>
                <w:noProof/>
                <w:webHidden/>
                <w:sz w:val="26"/>
              </w:rPr>
              <w:tab/>
            </w:r>
            <w:r w:rsidR="002F18A1" w:rsidRPr="002F18A1">
              <w:rPr>
                <w:rFonts w:ascii="Times New Roman" w:hAnsi="Times New Roman"/>
                <w:noProof/>
                <w:webHidden/>
                <w:sz w:val="26"/>
              </w:rPr>
              <w:fldChar w:fldCharType="begin"/>
            </w:r>
            <w:r w:rsidR="002F18A1" w:rsidRPr="002F18A1">
              <w:rPr>
                <w:rFonts w:ascii="Times New Roman" w:hAnsi="Times New Roman"/>
                <w:noProof/>
                <w:webHidden/>
                <w:sz w:val="26"/>
              </w:rPr>
              <w:instrText xml:space="preserve"> PAGEREF _Toc496702983 \h </w:instrText>
            </w:r>
            <w:r w:rsidR="002F18A1" w:rsidRPr="002F18A1">
              <w:rPr>
                <w:rFonts w:ascii="Times New Roman" w:hAnsi="Times New Roman"/>
                <w:noProof/>
                <w:webHidden/>
                <w:sz w:val="26"/>
              </w:rPr>
            </w:r>
            <w:r w:rsidR="002F18A1" w:rsidRPr="002F18A1">
              <w:rPr>
                <w:rFonts w:ascii="Times New Roman" w:hAnsi="Times New Roman"/>
                <w:noProof/>
                <w:webHidden/>
                <w:sz w:val="26"/>
              </w:rPr>
              <w:fldChar w:fldCharType="separate"/>
            </w:r>
            <w:r w:rsidR="00D817C2">
              <w:rPr>
                <w:rFonts w:ascii="Times New Roman" w:hAnsi="Times New Roman"/>
                <w:noProof/>
                <w:webHidden/>
                <w:sz w:val="26"/>
              </w:rPr>
              <w:t>19</w:t>
            </w:r>
            <w:r w:rsidR="002F18A1" w:rsidRPr="002F18A1">
              <w:rPr>
                <w:rFonts w:ascii="Times New Roman" w:hAnsi="Times New Roman"/>
                <w:noProof/>
                <w:webHidden/>
                <w:sz w:val="26"/>
              </w:rPr>
              <w:fldChar w:fldCharType="end"/>
            </w:r>
          </w:hyperlink>
        </w:p>
        <w:p w14:paraId="12A6FF7C" w14:textId="1B6C818F" w:rsidR="002F18A1" w:rsidRPr="002F18A1" w:rsidRDefault="000923C3">
          <w:pPr>
            <w:pStyle w:val="31"/>
            <w:tabs>
              <w:tab w:val="right" w:leader="dot" w:pos="10196"/>
            </w:tabs>
            <w:rPr>
              <w:rFonts w:ascii="Times New Roman" w:eastAsiaTheme="minorEastAsia" w:hAnsi="Times New Roman"/>
              <w:i w:val="0"/>
              <w:iCs w:val="0"/>
              <w:noProof/>
              <w:sz w:val="26"/>
              <w:szCs w:val="22"/>
              <w:lang w:eastAsia="ru-RU"/>
            </w:rPr>
          </w:pPr>
          <w:hyperlink w:anchor="_Toc496702984" w:history="1">
            <w:r w:rsidR="002F18A1" w:rsidRPr="002F18A1">
              <w:rPr>
                <w:rStyle w:val="af2"/>
                <w:rFonts w:ascii="Times New Roman" w:hAnsi="Times New Roman" w:cs="Times New Roman"/>
                <w:i w:val="0"/>
                <w:noProof/>
                <w:sz w:val="26"/>
              </w:rPr>
              <w:t>2.1 Финансовое обеспечение приоритетных направлений расходов</w:t>
            </w:r>
            <w:r w:rsidR="002F18A1" w:rsidRPr="002F18A1">
              <w:rPr>
                <w:rFonts w:ascii="Times New Roman" w:hAnsi="Times New Roman"/>
                <w:i w:val="0"/>
                <w:noProof/>
                <w:webHidden/>
                <w:sz w:val="26"/>
              </w:rPr>
              <w:tab/>
            </w:r>
            <w:r w:rsidR="002F18A1" w:rsidRPr="002F18A1">
              <w:rPr>
                <w:rFonts w:ascii="Times New Roman" w:hAnsi="Times New Roman"/>
                <w:i w:val="0"/>
                <w:noProof/>
                <w:webHidden/>
                <w:sz w:val="26"/>
              </w:rPr>
              <w:fldChar w:fldCharType="begin"/>
            </w:r>
            <w:r w:rsidR="002F18A1" w:rsidRPr="002F18A1">
              <w:rPr>
                <w:rFonts w:ascii="Times New Roman" w:hAnsi="Times New Roman"/>
                <w:i w:val="0"/>
                <w:noProof/>
                <w:webHidden/>
                <w:sz w:val="26"/>
              </w:rPr>
              <w:instrText xml:space="preserve"> PAGEREF _Toc496702984 \h </w:instrText>
            </w:r>
            <w:r w:rsidR="002F18A1" w:rsidRPr="002F18A1">
              <w:rPr>
                <w:rFonts w:ascii="Times New Roman" w:hAnsi="Times New Roman"/>
                <w:i w:val="0"/>
                <w:noProof/>
                <w:webHidden/>
                <w:sz w:val="26"/>
              </w:rPr>
            </w:r>
            <w:r w:rsidR="002F18A1" w:rsidRPr="002F18A1">
              <w:rPr>
                <w:rFonts w:ascii="Times New Roman" w:hAnsi="Times New Roman"/>
                <w:i w:val="0"/>
                <w:noProof/>
                <w:webHidden/>
                <w:sz w:val="26"/>
              </w:rPr>
              <w:fldChar w:fldCharType="separate"/>
            </w:r>
            <w:r w:rsidR="00D817C2">
              <w:rPr>
                <w:rFonts w:ascii="Times New Roman" w:hAnsi="Times New Roman"/>
                <w:i w:val="0"/>
                <w:noProof/>
                <w:webHidden/>
                <w:sz w:val="26"/>
              </w:rPr>
              <w:t>19</w:t>
            </w:r>
            <w:r w:rsidR="002F18A1" w:rsidRPr="002F18A1">
              <w:rPr>
                <w:rFonts w:ascii="Times New Roman" w:hAnsi="Times New Roman"/>
                <w:i w:val="0"/>
                <w:noProof/>
                <w:webHidden/>
                <w:sz w:val="26"/>
              </w:rPr>
              <w:fldChar w:fldCharType="end"/>
            </w:r>
          </w:hyperlink>
        </w:p>
        <w:p w14:paraId="2BA3E72E" w14:textId="6DA8C14C" w:rsidR="002F18A1" w:rsidRPr="002F18A1" w:rsidRDefault="000923C3">
          <w:pPr>
            <w:pStyle w:val="31"/>
            <w:tabs>
              <w:tab w:val="right" w:leader="dot" w:pos="10196"/>
            </w:tabs>
            <w:rPr>
              <w:rFonts w:ascii="Times New Roman" w:eastAsiaTheme="minorEastAsia" w:hAnsi="Times New Roman"/>
              <w:i w:val="0"/>
              <w:iCs w:val="0"/>
              <w:noProof/>
              <w:sz w:val="26"/>
              <w:szCs w:val="22"/>
              <w:lang w:eastAsia="ru-RU"/>
            </w:rPr>
          </w:pPr>
          <w:hyperlink w:anchor="_Toc496702985" w:history="1">
            <w:r w:rsidR="002F18A1" w:rsidRPr="002F18A1">
              <w:rPr>
                <w:rStyle w:val="af2"/>
                <w:rFonts w:ascii="Times New Roman" w:hAnsi="Times New Roman" w:cs="Times New Roman"/>
                <w:i w:val="0"/>
                <w:noProof/>
                <w:sz w:val="26"/>
              </w:rPr>
              <w:t>2.2 Оптимизация расходов областного бюджета и повышение эффективности использования бюджетных средств</w:t>
            </w:r>
            <w:r w:rsidR="002F18A1" w:rsidRPr="002F18A1">
              <w:rPr>
                <w:rFonts w:ascii="Times New Roman" w:hAnsi="Times New Roman"/>
                <w:i w:val="0"/>
                <w:noProof/>
                <w:webHidden/>
                <w:sz w:val="26"/>
              </w:rPr>
              <w:tab/>
            </w:r>
            <w:r w:rsidR="002F18A1" w:rsidRPr="002F18A1">
              <w:rPr>
                <w:rFonts w:ascii="Times New Roman" w:hAnsi="Times New Roman"/>
                <w:i w:val="0"/>
                <w:noProof/>
                <w:webHidden/>
                <w:sz w:val="26"/>
              </w:rPr>
              <w:fldChar w:fldCharType="begin"/>
            </w:r>
            <w:r w:rsidR="002F18A1" w:rsidRPr="002F18A1">
              <w:rPr>
                <w:rFonts w:ascii="Times New Roman" w:hAnsi="Times New Roman"/>
                <w:i w:val="0"/>
                <w:noProof/>
                <w:webHidden/>
                <w:sz w:val="26"/>
              </w:rPr>
              <w:instrText xml:space="preserve"> PAGEREF _Toc496702985 \h </w:instrText>
            </w:r>
            <w:r w:rsidR="002F18A1" w:rsidRPr="002F18A1">
              <w:rPr>
                <w:rFonts w:ascii="Times New Roman" w:hAnsi="Times New Roman"/>
                <w:i w:val="0"/>
                <w:noProof/>
                <w:webHidden/>
                <w:sz w:val="26"/>
              </w:rPr>
            </w:r>
            <w:r w:rsidR="002F18A1" w:rsidRPr="002F18A1">
              <w:rPr>
                <w:rFonts w:ascii="Times New Roman" w:hAnsi="Times New Roman"/>
                <w:i w:val="0"/>
                <w:noProof/>
                <w:webHidden/>
                <w:sz w:val="26"/>
              </w:rPr>
              <w:fldChar w:fldCharType="separate"/>
            </w:r>
            <w:r w:rsidR="00D817C2">
              <w:rPr>
                <w:rFonts w:ascii="Times New Roman" w:hAnsi="Times New Roman"/>
                <w:i w:val="0"/>
                <w:noProof/>
                <w:webHidden/>
                <w:sz w:val="26"/>
              </w:rPr>
              <w:t>21</w:t>
            </w:r>
            <w:r w:rsidR="002F18A1" w:rsidRPr="002F18A1">
              <w:rPr>
                <w:rFonts w:ascii="Times New Roman" w:hAnsi="Times New Roman"/>
                <w:i w:val="0"/>
                <w:noProof/>
                <w:webHidden/>
                <w:sz w:val="26"/>
              </w:rPr>
              <w:fldChar w:fldCharType="end"/>
            </w:r>
          </w:hyperlink>
        </w:p>
        <w:p w14:paraId="49E88CDA" w14:textId="3DA2E0BF" w:rsidR="002F18A1" w:rsidRPr="002F18A1" w:rsidRDefault="000923C3">
          <w:pPr>
            <w:pStyle w:val="31"/>
            <w:tabs>
              <w:tab w:val="right" w:leader="dot" w:pos="10196"/>
            </w:tabs>
            <w:rPr>
              <w:rFonts w:ascii="Times New Roman" w:eastAsiaTheme="minorEastAsia" w:hAnsi="Times New Roman"/>
              <w:i w:val="0"/>
              <w:iCs w:val="0"/>
              <w:noProof/>
              <w:sz w:val="26"/>
              <w:szCs w:val="22"/>
              <w:lang w:eastAsia="ru-RU"/>
            </w:rPr>
          </w:pPr>
          <w:hyperlink w:anchor="_Toc496702986" w:history="1">
            <w:r w:rsidR="002F18A1" w:rsidRPr="002F18A1">
              <w:rPr>
                <w:rStyle w:val="af2"/>
                <w:rFonts w:ascii="Times New Roman" w:hAnsi="Times New Roman" w:cs="Times New Roman"/>
                <w:i w:val="0"/>
                <w:noProof/>
                <w:sz w:val="26"/>
              </w:rPr>
              <w:t>2.3 Обеспечение сбалансированности местных бюджетов</w:t>
            </w:r>
            <w:r w:rsidR="002F18A1" w:rsidRPr="002F18A1">
              <w:rPr>
                <w:rFonts w:ascii="Times New Roman" w:hAnsi="Times New Roman"/>
                <w:i w:val="0"/>
                <w:noProof/>
                <w:webHidden/>
                <w:sz w:val="26"/>
              </w:rPr>
              <w:tab/>
            </w:r>
            <w:r w:rsidR="002F18A1" w:rsidRPr="002F18A1">
              <w:rPr>
                <w:rFonts w:ascii="Times New Roman" w:hAnsi="Times New Roman"/>
                <w:i w:val="0"/>
                <w:noProof/>
                <w:webHidden/>
                <w:sz w:val="26"/>
              </w:rPr>
              <w:fldChar w:fldCharType="begin"/>
            </w:r>
            <w:r w:rsidR="002F18A1" w:rsidRPr="002F18A1">
              <w:rPr>
                <w:rFonts w:ascii="Times New Roman" w:hAnsi="Times New Roman"/>
                <w:i w:val="0"/>
                <w:noProof/>
                <w:webHidden/>
                <w:sz w:val="26"/>
              </w:rPr>
              <w:instrText xml:space="preserve"> PAGEREF _Toc496702986 \h </w:instrText>
            </w:r>
            <w:r w:rsidR="002F18A1" w:rsidRPr="002F18A1">
              <w:rPr>
                <w:rFonts w:ascii="Times New Roman" w:hAnsi="Times New Roman"/>
                <w:i w:val="0"/>
                <w:noProof/>
                <w:webHidden/>
                <w:sz w:val="26"/>
              </w:rPr>
            </w:r>
            <w:r w:rsidR="002F18A1" w:rsidRPr="002F18A1">
              <w:rPr>
                <w:rFonts w:ascii="Times New Roman" w:hAnsi="Times New Roman"/>
                <w:i w:val="0"/>
                <w:noProof/>
                <w:webHidden/>
                <w:sz w:val="26"/>
              </w:rPr>
              <w:fldChar w:fldCharType="separate"/>
            </w:r>
            <w:r w:rsidR="00D817C2">
              <w:rPr>
                <w:rFonts w:ascii="Times New Roman" w:hAnsi="Times New Roman"/>
                <w:i w:val="0"/>
                <w:noProof/>
                <w:webHidden/>
                <w:sz w:val="26"/>
              </w:rPr>
              <w:t>23</w:t>
            </w:r>
            <w:r w:rsidR="002F18A1" w:rsidRPr="002F18A1">
              <w:rPr>
                <w:rFonts w:ascii="Times New Roman" w:hAnsi="Times New Roman"/>
                <w:i w:val="0"/>
                <w:noProof/>
                <w:webHidden/>
                <w:sz w:val="26"/>
              </w:rPr>
              <w:fldChar w:fldCharType="end"/>
            </w:r>
          </w:hyperlink>
        </w:p>
        <w:p w14:paraId="7970696C" w14:textId="6319B1DD" w:rsidR="002F18A1" w:rsidRPr="002F18A1" w:rsidRDefault="000923C3">
          <w:pPr>
            <w:pStyle w:val="31"/>
            <w:tabs>
              <w:tab w:val="right" w:leader="dot" w:pos="10196"/>
            </w:tabs>
            <w:rPr>
              <w:rFonts w:ascii="Times New Roman" w:eastAsiaTheme="minorEastAsia" w:hAnsi="Times New Roman"/>
              <w:i w:val="0"/>
              <w:iCs w:val="0"/>
              <w:noProof/>
              <w:sz w:val="26"/>
              <w:szCs w:val="22"/>
              <w:lang w:eastAsia="ru-RU"/>
            </w:rPr>
          </w:pPr>
          <w:hyperlink w:anchor="_Toc496702987" w:history="1">
            <w:r w:rsidR="002F18A1" w:rsidRPr="002F18A1">
              <w:rPr>
                <w:rStyle w:val="af2"/>
                <w:rFonts w:ascii="Times New Roman" w:hAnsi="Times New Roman" w:cs="Times New Roman"/>
                <w:i w:val="0"/>
                <w:noProof/>
                <w:sz w:val="26"/>
              </w:rPr>
              <w:t>2.4 Управление государственным долгом Иркутской области</w:t>
            </w:r>
            <w:r w:rsidR="002F18A1" w:rsidRPr="002F18A1">
              <w:rPr>
                <w:rFonts w:ascii="Times New Roman" w:hAnsi="Times New Roman"/>
                <w:i w:val="0"/>
                <w:noProof/>
                <w:webHidden/>
                <w:sz w:val="26"/>
              </w:rPr>
              <w:tab/>
            </w:r>
            <w:r w:rsidR="002F18A1" w:rsidRPr="002F18A1">
              <w:rPr>
                <w:rFonts w:ascii="Times New Roman" w:hAnsi="Times New Roman"/>
                <w:i w:val="0"/>
                <w:noProof/>
                <w:webHidden/>
                <w:sz w:val="26"/>
              </w:rPr>
              <w:fldChar w:fldCharType="begin"/>
            </w:r>
            <w:r w:rsidR="002F18A1" w:rsidRPr="002F18A1">
              <w:rPr>
                <w:rFonts w:ascii="Times New Roman" w:hAnsi="Times New Roman"/>
                <w:i w:val="0"/>
                <w:noProof/>
                <w:webHidden/>
                <w:sz w:val="26"/>
              </w:rPr>
              <w:instrText xml:space="preserve"> PAGEREF _Toc496702987 \h </w:instrText>
            </w:r>
            <w:r w:rsidR="002F18A1" w:rsidRPr="002F18A1">
              <w:rPr>
                <w:rFonts w:ascii="Times New Roman" w:hAnsi="Times New Roman"/>
                <w:i w:val="0"/>
                <w:noProof/>
                <w:webHidden/>
                <w:sz w:val="26"/>
              </w:rPr>
            </w:r>
            <w:r w:rsidR="002F18A1" w:rsidRPr="002F18A1">
              <w:rPr>
                <w:rFonts w:ascii="Times New Roman" w:hAnsi="Times New Roman"/>
                <w:i w:val="0"/>
                <w:noProof/>
                <w:webHidden/>
                <w:sz w:val="26"/>
              </w:rPr>
              <w:fldChar w:fldCharType="separate"/>
            </w:r>
            <w:r w:rsidR="00D817C2">
              <w:rPr>
                <w:rFonts w:ascii="Times New Roman" w:hAnsi="Times New Roman"/>
                <w:i w:val="0"/>
                <w:noProof/>
                <w:webHidden/>
                <w:sz w:val="26"/>
              </w:rPr>
              <w:t>24</w:t>
            </w:r>
            <w:r w:rsidR="002F18A1" w:rsidRPr="002F18A1">
              <w:rPr>
                <w:rFonts w:ascii="Times New Roman" w:hAnsi="Times New Roman"/>
                <w:i w:val="0"/>
                <w:noProof/>
                <w:webHidden/>
                <w:sz w:val="26"/>
              </w:rPr>
              <w:fldChar w:fldCharType="end"/>
            </w:r>
          </w:hyperlink>
        </w:p>
        <w:p w14:paraId="68895974" w14:textId="276180C7" w:rsidR="002F18A1" w:rsidRPr="002F18A1" w:rsidRDefault="000923C3">
          <w:pPr>
            <w:pStyle w:val="31"/>
            <w:tabs>
              <w:tab w:val="right" w:leader="dot" w:pos="10196"/>
            </w:tabs>
            <w:rPr>
              <w:rFonts w:ascii="Times New Roman" w:eastAsiaTheme="minorEastAsia" w:hAnsi="Times New Roman"/>
              <w:i w:val="0"/>
              <w:iCs w:val="0"/>
              <w:noProof/>
              <w:sz w:val="26"/>
              <w:szCs w:val="22"/>
              <w:lang w:eastAsia="ru-RU"/>
            </w:rPr>
          </w:pPr>
          <w:hyperlink w:anchor="_Toc496702988" w:history="1">
            <w:r w:rsidR="002F18A1" w:rsidRPr="002F18A1">
              <w:rPr>
                <w:rStyle w:val="af2"/>
                <w:rFonts w:ascii="Times New Roman" w:hAnsi="Times New Roman" w:cs="Times New Roman"/>
                <w:i w:val="0"/>
                <w:noProof/>
                <w:sz w:val="26"/>
              </w:rPr>
              <w:t>2.5 Вовлечение граждан в бюджетный процесс.</w:t>
            </w:r>
            <w:r w:rsidR="002F18A1" w:rsidRPr="002F18A1">
              <w:rPr>
                <w:rFonts w:ascii="Times New Roman" w:hAnsi="Times New Roman"/>
                <w:i w:val="0"/>
                <w:noProof/>
                <w:webHidden/>
                <w:sz w:val="26"/>
              </w:rPr>
              <w:tab/>
            </w:r>
            <w:r w:rsidR="002F18A1" w:rsidRPr="002F18A1">
              <w:rPr>
                <w:rFonts w:ascii="Times New Roman" w:hAnsi="Times New Roman"/>
                <w:i w:val="0"/>
                <w:noProof/>
                <w:webHidden/>
                <w:sz w:val="26"/>
              </w:rPr>
              <w:fldChar w:fldCharType="begin"/>
            </w:r>
            <w:r w:rsidR="002F18A1" w:rsidRPr="002F18A1">
              <w:rPr>
                <w:rFonts w:ascii="Times New Roman" w:hAnsi="Times New Roman"/>
                <w:i w:val="0"/>
                <w:noProof/>
                <w:webHidden/>
                <w:sz w:val="26"/>
              </w:rPr>
              <w:instrText xml:space="preserve"> PAGEREF _Toc496702988 \h </w:instrText>
            </w:r>
            <w:r w:rsidR="002F18A1" w:rsidRPr="002F18A1">
              <w:rPr>
                <w:rFonts w:ascii="Times New Roman" w:hAnsi="Times New Roman"/>
                <w:i w:val="0"/>
                <w:noProof/>
                <w:webHidden/>
                <w:sz w:val="26"/>
              </w:rPr>
            </w:r>
            <w:r w:rsidR="002F18A1" w:rsidRPr="002F18A1">
              <w:rPr>
                <w:rFonts w:ascii="Times New Roman" w:hAnsi="Times New Roman"/>
                <w:i w:val="0"/>
                <w:noProof/>
                <w:webHidden/>
                <w:sz w:val="26"/>
              </w:rPr>
              <w:fldChar w:fldCharType="separate"/>
            </w:r>
            <w:r w:rsidR="00D817C2">
              <w:rPr>
                <w:rFonts w:ascii="Times New Roman" w:hAnsi="Times New Roman"/>
                <w:i w:val="0"/>
                <w:noProof/>
                <w:webHidden/>
                <w:sz w:val="26"/>
              </w:rPr>
              <w:t>25</w:t>
            </w:r>
            <w:r w:rsidR="002F18A1" w:rsidRPr="002F18A1">
              <w:rPr>
                <w:rFonts w:ascii="Times New Roman" w:hAnsi="Times New Roman"/>
                <w:i w:val="0"/>
                <w:noProof/>
                <w:webHidden/>
                <w:sz w:val="26"/>
              </w:rPr>
              <w:fldChar w:fldCharType="end"/>
            </w:r>
          </w:hyperlink>
        </w:p>
        <w:p w14:paraId="60016A3D" w14:textId="1096CB37" w:rsidR="002F18A1" w:rsidRDefault="002F18A1">
          <w:r w:rsidRPr="002F18A1">
            <w:rPr>
              <w:rFonts w:ascii="Times New Roman" w:hAnsi="Times New Roman"/>
              <w:bCs/>
              <w:caps/>
              <w:sz w:val="26"/>
              <w:szCs w:val="20"/>
            </w:rPr>
            <w:fldChar w:fldCharType="end"/>
          </w:r>
        </w:p>
      </w:sdtContent>
    </w:sdt>
    <w:p w14:paraId="1534C324" w14:textId="77777777" w:rsidR="0068781B" w:rsidRDefault="0068781B"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169D3EFE" w14:textId="4385A2E9"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78C7A90C" w14:textId="6723407B"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4E6D9F00" w14:textId="19616567" w:rsidR="00FC42E7" w:rsidRDefault="00FC42E7" w:rsidP="00DE6067">
      <w:pPr>
        <w:pStyle w:val="12"/>
      </w:pPr>
    </w:p>
    <w:p w14:paraId="487BCE0D" w14:textId="7F456052"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38D3382" w14:textId="1DB61511" w:rsidR="007F6553" w:rsidRDefault="007F6553"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6D52F3FB" w14:textId="77777777" w:rsidR="007F6553" w:rsidRDefault="007F6553"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5840B05B" w14:textId="44BA78E3" w:rsidR="00FC42E7" w:rsidRDefault="00FC42E7" w:rsidP="007F655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40BC7089" w14:textId="39201363"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1E94A0D9" w14:textId="7067BFE4"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57397753" w14:textId="1B56090E"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8571E80" w14:textId="4648B959"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6EFB780D" w14:textId="75952B4E"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76AB52FB" w14:textId="32EEEACF"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12B2DA5F" w14:textId="53916BE8"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0CE583B8" w14:textId="517FB4A7"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2B423FF0" w14:textId="15F9F56E" w:rsidR="00FC42E7" w:rsidRDefault="00FC42E7" w:rsidP="00096F9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14:paraId="3149396E" w14:textId="23A857A8" w:rsidR="007F6553" w:rsidRDefault="007F655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2AFAB7AF" w14:textId="32AD5B40" w:rsidR="00E371C1" w:rsidRPr="003676F1" w:rsidRDefault="00E371C1" w:rsidP="003676F1">
      <w:pPr>
        <w:spacing w:after="0" w:line="240" w:lineRule="auto"/>
        <w:ind w:firstLine="709"/>
        <w:jc w:val="both"/>
        <w:rPr>
          <w:rFonts w:ascii="Times New Roman" w:eastAsia="Calibri" w:hAnsi="Times New Roman" w:cs="Times New Roman"/>
          <w:sz w:val="28"/>
          <w:szCs w:val="28"/>
        </w:rPr>
      </w:pPr>
      <w:r w:rsidRPr="003676F1">
        <w:rPr>
          <w:rFonts w:ascii="Times New Roman" w:eastAsia="Calibri" w:hAnsi="Times New Roman" w:cs="Times New Roman"/>
          <w:sz w:val="28"/>
          <w:szCs w:val="28"/>
        </w:rPr>
        <w:lastRenderedPageBreak/>
        <w:t xml:space="preserve">Основные направления бюджетной </w:t>
      </w:r>
      <w:r w:rsidR="00A12D86" w:rsidRPr="003676F1">
        <w:rPr>
          <w:rFonts w:ascii="Times New Roman" w:eastAsia="Calibri" w:hAnsi="Times New Roman" w:cs="Times New Roman"/>
          <w:sz w:val="28"/>
          <w:szCs w:val="28"/>
        </w:rPr>
        <w:t xml:space="preserve">и налоговой </w:t>
      </w:r>
      <w:r w:rsidRPr="003676F1">
        <w:rPr>
          <w:rFonts w:ascii="Times New Roman" w:eastAsia="Calibri" w:hAnsi="Times New Roman" w:cs="Times New Roman"/>
          <w:sz w:val="28"/>
          <w:szCs w:val="28"/>
        </w:rPr>
        <w:t>политики Иркутской области на 201</w:t>
      </w:r>
      <w:r w:rsidR="001C4F31" w:rsidRPr="003676F1">
        <w:rPr>
          <w:rFonts w:ascii="Times New Roman" w:eastAsia="Calibri" w:hAnsi="Times New Roman" w:cs="Times New Roman"/>
          <w:sz w:val="28"/>
          <w:szCs w:val="28"/>
        </w:rPr>
        <w:t>8</w:t>
      </w:r>
      <w:r w:rsidRPr="003676F1">
        <w:rPr>
          <w:rFonts w:ascii="Times New Roman" w:eastAsia="Calibri" w:hAnsi="Times New Roman" w:cs="Times New Roman"/>
          <w:sz w:val="28"/>
          <w:szCs w:val="28"/>
        </w:rPr>
        <w:t xml:space="preserve"> год и на плановый период 201</w:t>
      </w:r>
      <w:r w:rsidR="001C4F31" w:rsidRPr="003676F1">
        <w:rPr>
          <w:rFonts w:ascii="Times New Roman" w:eastAsia="Calibri" w:hAnsi="Times New Roman" w:cs="Times New Roman"/>
          <w:sz w:val="28"/>
          <w:szCs w:val="28"/>
        </w:rPr>
        <w:t>9</w:t>
      </w:r>
      <w:r w:rsidRPr="003676F1">
        <w:rPr>
          <w:rFonts w:ascii="Times New Roman" w:eastAsia="Calibri" w:hAnsi="Times New Roman" w:cs="Times New Roman"/>
          <w:sz w:val="28"/>
          <w:szCs w:val="28"/>
        </w:rPr>
        <w:t xml:space="preserve"> и 20</w:t>
      </w:r>
      <w:r w:rsidR="001C4F31" w:rsidRPr="003676F1">
        <w:rPr>
          <w:rFonts w:ascii="Times New Roman" w:eastAsia="Calibri" w:hAnsi="Times New Roman" w:cs="Times New Roman"/>
          <w:sz w:val="28"/>
          <w:szCs w:val="28"/>
        </w:rPr>
        <w:t>20</w:t>
      </w:r>
      <w:r w:rsidRPr="003676F1">
        <w:rPr>
          <w:rFonts w:ascii="Times New Roman" w:eastAsia="Calibri" w:hAnsi="Times New Roman" w:cs="Times New Roman"/>
          <w:sz w:val="28"/>
          <w:szCs w:val="28"/>
        </w:rPr>
        <w:t xml:space="preserve"> годов разработаны в соответствии </w:t>
      </w:r>
      <w:r w:rsidR="001C4F31" w:rsidRPr="003676F1">
        <w:rPr>
          <w:rFonts w:ascii="Times New Roman" w:eastAsia="Calibri" w:hAnsi="Times New Roman" w:cs="Times New Roman"/>
          <w:sz w:val="28"/>
          <w:szCs w:val="28"/>
        </w:rPr>
        <w:t xml:space="preserve">со статьями 172, 184.2 Бюджетного кодекса Российской Федерации, </w:t>
      </w:r>
      <w:r w:rsidRPr="003676F1">
        <w:rPr>
          <w:rFonts w:ascii="Times New Roman" w:eastAsia="Calibri" w:hAnsi="Times New Roman" w:cs="Times New Roman"/>
          <w:sz w:val="28"/>
          <w:szCs w:val="28"/>
        </w:rPr>
        <w:t>статьей</w:t>
      </w:r>
      <w:r w:rsidR="009043E8" w:rsidRPr="003676F1">
        <w:rPr>
          <w:rFonts w:ascii="Times New Roman" w:eastAsia="Calibri" w:hAnsi="Times New Roman" w:cs="Times New Roman"/>
          <w:sz w:val="28"/>
          <w:szCs w:val="28"/>
        </w:rPr>
        <w:t xml:space="preserve"> 10</w:t>
      </w:r>
      <w:r w:rsidRPr="003676F1">
        <w:rPr>
          <w:rFonts w:ascii="Times New Roman" w:eastAsia="Calibri" w:hAnsi="Times New Roman" w:cs="Times New Roman"/>
          <w:sz w:val="28"/>
          <w:szCs w:val="28"/>
        </w:rPr>
        <w:t xml:space="preserve"> Закона Иркутской области</w:t>
      </w:r>
      <w:r w:rsidR="00603B6F" w:rsidRPr="003676F1">
        <w:rPr>
          <w:rFonts w:ascii="Times New Roman" w:eastAsia="Calibri" w:hAnsi="Times New Roman" w:cs="Times New Roman"/>
          <w:sz w:val="28"/>
          <w:szCs w:val="28"/>
        </w:rPr>
        <w:t xml:space="preserve"> от</w:t>
      </w:r>
      <w:r w:rsidR="009043E8" w:rsidRPr="003676F1">
        <w:rPr>
          <w:rFonts w:ascii="Times New Roman" w:eastAsia="Calibri" w:hAnsi="Times New Roman" w:cs="Times New Roman"/>
          <w:sz w:val="28"/>
          <w:szCs w:val="28"/>
        </w:rPr>
        <w:t xml:space="preserve"> 23 июля 2008 года</w:t>
      </w:r>
      <w:r w:rsidR="00603B6F" w:rsidRPr="003676F1">
        <w:rPr>
          <w:rFonts w:ascii="Times New Roman" w:eastAsia="Calibri" w:hAnsi="Times New Roman" w:cs="Times New Roman"/>
          <w:sz w:val="28"/>
          <w:szCs w:val="28"/>
        </w:rPr>
        <w:t xml:space="preserve"> № </w:t>
      </w:r>
      <w:r w:rsidR="009043E8" w:rsidRPr="003676F1">
        <w:rPr>
          <w:rFonts w:ascii="Times New Roman" w:eastAsia="Calibri" w:hAnsi="Times New Roman" w:cs="Times New Roman"/>
          <w:sz w:val="28"/>
          <w:szCs w:val="28"/>
        </w:rPr>
        <w:t>55-оз</w:t>
      </w:r>
      <w:r w:rsidRPr="003676F1">
        <w:rPr>
          <w:rFonts w:ascii="Times New Roman" w:eastAsia="Calibri" w:hAnsi="Times New Roman" w:cs="Times New Roman"/>
          <w:sz w:val="28"/>
          <w:szCs w:val="28"/>
        </w:rPr>
        <w:t xml:space="preserve"> «О бюджетном процессе Иркутской области</w:t>
      </w:r>
      <w:r w:rsidRPr="00A33434">
        <w:rPr>
          <w:rFonts w:ascii="Times New Roman" w:eastAsia="Calibri" w:hAnsi="Times New Roman" w:cs="Times New Roman"/>
          <w:sz w:val="28"/>
          <w:szCs w:val="28"/>
        </w:rPr>
        <w:t>»</w:t>
      </w:r>
      <w:r w:rsidR="002F648C" w:rsidRPr="00A33434">
        <w:rPr>
          <w:rFonts w:ascii="Times New Roman" w:eastAsia="Calibri" w:hAnsi="Times New Roman" w:cs="Times New Roman"/>
          <w:sz w:val="28"/>
          <w:szCs w:val="28"/>
        </w:rPr>
        <w:t xml:space="preserve"> </w:t>
      </w:r>
      <w:r w:rsidR="00A33434">
        <w:rPr>
          <w:rFonts w:ascii="Times New Roman" w:eastAsia="Calibri" w:hAnsi="Times New Roman" w:cs="Times New Roman"/>
          <w:sz w:val="28"/>
          <w:szCs w:val="28"/>
        </w:rPr>
        <w:t xml:space="preserve"> и </w:t>
      </w:r>
      <w:r w:rsidR="00A33434" w:rsidRPr="00A33434">
        <w:rPr>
          <w:rFonts w:ascii="Times New Roman" w:eastAsia="Calibri" w:hAnsi="Times New Roman" w:cs="Times New Roman"/>
          <w:sz w:val="28"/>
          <w:szCs w:val="28"/>
        </w:rPr>
        <w:t>устанавливают на среднесрочный период приоритеты в сфере управления общественными финансами на региональном уровне</w:t>
      </w:r>
      <w:r w:rsidR="00A33434">
        <w:rPr>
          <w:rFonts w:ascii="Times New Roman" w:eastAsia="Calibri" w:hAnsi="Times New Roman" w:cs="Times New Roman"/>
          <w:sz w:val="28"/>
          <w:szCs w:val="28"/>
        </w:rPr>
        <w:t>, а также</w:t>
      </w:r>
      <w:r w:rsidR="00CC265B" w:rsidRPr="003676F1">
        <w:rPr>
          <w:rFonts w:ascii="Times New Roman" w:eastAsia="Calibri" w:hAnsi="Times New Roman" w:cs="Times New Roman"/>
          <w:sz w:val="28"/>
          <w:szCs w:val="28"/>
        </w:rPr>
        <w:t xml:space="preserve"> условия, принимаемые для формирования областного бюджета на 201</w:t>
      </w:r>
      <w:r w:rsidR="001C4F31" w:rsidRPr="003676F1">
        <w:rPr>
          <w:rFonts w:ascii="Times New Roman" w:eastAsia="Calibri" w:hAnsi="Times New Roman" w:cs="Times New Roman"/>
          <w:sz w:val="28"/>
          <w:szCs w:val="28"/>
        </w:rPr>
        <w:t>8</w:t>
      </w:r>
      <w:r w:rsidR="00CC265B" w:rsidRPr="003676F1">
        <w:rPr>
          <w:rFonts w:ascii="Times New Roman" w:eastAsia="Calibri" w:hAnsi="Times New Roman" w:cs="Times New Roman"/>
          <w:sz w:val="28"/>
          <w:szCs w:val="28"/>
        </w:rPr>
        <w:t xml:space="preserve"> год и </w:t>
      </w:r>
      <w:r w:rsidR="00A12D86" w:rsidRPr="003676F1">
        <w:rPr>
          <w:rFonts w:ascii="Times New Roman" w:eastAsia="Calibri" w:hAnsi="Times New Roman" w:cs="Times New Roman"/>
          <w:sz w:val="28"/>
          <w:szCs w:val="28"/>
        </w:rPr>
        <w:t xml:space="preserve">на </w:t>
      </w:r>
      <w:r w:rsidR="00CC265B" w:rsidRPr="003676F1">
        <w:rPr>
          <w:rFonts w:ascii="Times New Roman" w:eastAsia="Calibri" w:hAnsi="Times New Roman" w:cs="Times New Roman"/>
          <w:sz w:val="28"/>
          <w:szCs w:val="28"/>
        </w:rPr>
        <w:t>плановый период 201</w:t>
      </w:r>
      <w:r w:rsidR="001C4F31" w:rsidRPr="003676F1">
        <w:rPr>
          <w:rFonts w:ascii="Times New Roman" w:eastAsia="Calibri" w:hAnsi="Times New Roman" w:cs="Times New Roman"/>
          <w:sz w:val="28"/>
          <w:szCs w:val="28"/>
        </w:rPr>
        <w:t xml:space="preserve">9 и 2020 </w:t>
      </w:r>
      <w:r w:rsidR="00CC265B" w:rsidRPr="003676F1">
        <w:rPr>
          <w:rFonts w:ascii="Times New Roman" w:eastAsia="Calibri" w:hAnsi="Times New Roman" w:cs="Times New Roman"/>
          <w:sz w:val="28"/>
          <w:szCs w:val="28"/>
        </w:rPr>
        <w:t>годо</w:t>
      </w:r>
      <w:r w:rsidR="00A84B7B" w:rsidRPr="003676F1">
        <w:rPr>
          <w:rFonts w:ascii="Times New Roman" w:eastAsia="Calibri" w:hAnsi="Times New Roman" w:cs="Times New Roman"/>
          <w:sz w:val="28"/>
          <w:szCs w:val="28"/>
        </w:rPr>
        <w:t>в</w:t>
      </w:r>
      <w:r w:rsidR="002F648C" w:rsidRPr="003676F1">
        <w:rPr>
          <w:rFonts w:ascii="Times New Roman" w:eastAsia="Calibri" w:hAnsi="Times New Roman" w:cs="Times New Roman"/>
          <w:sz w:val="28"/>
          <w:szCs w:val="28"/>
        </w:rPr>
        <w:t>,</w:t>
      </w:r>
      <w:r w:rsidR="00CC265B" w:rsidRPr="003676F1">
        <w:rPr>
          <w:rFonts w:ascii="Times New Roman" w:eastAsia="Calibri" w:hAnsi="Times New Roman" w:cs="Times New Roman"/>
          <w:sz w:val="28"/>
          <w:szCs w:val="28"/>
        </w:rPr>
        <w:t xml:space="preserve"> обеспечивают прозрачность и открытость бюджетного планирования.</w:t>
      </w:r>
    </w:p>
    <w:p w14:paraId="6F657768" w14:textId="205FEA3E" w:rsidR="00BE3D82" w:rsidRPr="003676F1" w:rsidRDefault="00E371C1" w:rsidP="003676F1">
      <w:pPr>
        <w:spacing w:after="0" w:line="240" w:lineRule="auto"/>
        <w:ind w:firstLine="709"/>
        <w:jc w:val="both"/>
        <w:rPr>
          <w:rFonts w:ascii="Times New Roman" w:eastAsia="Calibri" w:hAnsi="Times New Roman" w:cs="Times New Roman"/>
          <w:sz w:val="28"/>
          <w:szCs w:val="28"/>
        </w:rPr>
      </w:pPr>
      <w:r w:rsidRPr="003676F1">
        <w:rPr>
          <w:rFonts w:ascii="Times New Roman" w:eastAsia="Calibri" w:hAnsi="Times New Roman" w:cs="Times New Roman"/>
          <w:sz w:val="28"/>
          <w:szCs w:val="28"/>
        </w:rPr>
        <w:t xml:space="preserve">При подготовке </w:t>
      </w:r>
      <w:r w:rsidR="002B2C33" w:rsidRPr="003676F1">
        <w:rPr>
          <w:rFonts w:ascii="Times New Roman" w:eastAsia="Calibri" w:hAnsi="Times New Roman" w:cs="Times New Roman"/>
          <w:sz w:val="28"/>
          <w:szCs w:val="28"/>
        </w:rPr>
        <w:t>Основных направлений</w:t>
      </w:r>
      <w:r w:rsidRPr="003676F1">
        <w:rPr>
          <w:rFonts w:ascii="Times New Roman" w:eastAsia="Calibri" w:hAnsi="Times New Roman" w:cs="Times New Roman"/>
          <w:sz w:val="28"/>
          <w:szCs w:val="28"/>
        </w:rPr>
        <w:t xml:space="preserve"> </w:t>
      </w:r>
      <w:r w:rsidR="00701BD9" w:rsidRPr="003676F1">
        <w:rPr>
          <w:rFonts w:ascii="Times New Roman" w:eastAsia="Calibri" w:hAnsi="Times New Roman" w:cs="Times New Roman"/>
          <w:sz w:val="28"/>
          <w:szCs w:val="28"/>
        </w:rPr>
        <w:t xml:space="preserve">бюджетной </w:t>
      </w:r>
      <w:r w:rsidR="00A12D86" w:rsidRPr="003676F1">
        <w:rPr>
          <w:rFonts w:ascii="Times New Roman" w:eastAsia="Calibri" w:hAnsi="Times New Roman" w:cs="Times New Roman"/>
          <w:sz w:val="28"/>
          <w:szCs w:val="28"/>
        </w:rPr>
        <w:t xml:space="preserve">и налоговой </w:t>
      </w:r>
      <w:r w:rsidR="00701BD9" w:rsidRPr="003676F1">
        <w:rPr>
          <w:rFonts w:ascii="Times New Roman" w:eastAsia="Calibri" w:hAnsi="Times New Roman" w:cs="Times New Roman"/>
          <w:sz w:val="28"/>
          <w:szCs w:val="28"/>
        </w:rPr>
        <w:t xml:space="preserve">политики </w:t>
      </w:r>
      <w:r w:rsidRPr="003676F1">
        <w:rPr>
          <w:rFonts w:ascii="Times New Roman" w:eastAsia="Calibri" w:hAnsi="Times New Roman" w:cs="Times New Roman"/>
          <w:sz w:val="28"/>
          <w:szCs w:val="28"/>
        </w:rPr>
        <w:t xml:space="preserve">учтены </w:t>
      </w:r>
      <w:r w:rsidR="00BE3D82" w:rsidRPr="003676F1">
        <w:rPr>
          <w:rFonts w:ascii="Times New Roman" w:eastAsia="Calibri" w:hAnsi="Times New Roman" w:cs="Times New Roman"/>
          <w:sz w:val="28"/>
          <w:szCs w:val="28"/>
        </w:rPr>
        <w:t>положения</w:t>
      </w:r>
      <w:r w:rsidR="00E61BEB" w:rsidRPr="003676F1">
        <w:rPr>
          <w:rFonts w:ascii="Times New Roman" w:eastAsia="Calibri" w:hAnsi="Times New Roman" w:cs="Times New Roman"/>
          <w:sz w:val="28"/>
          <w:szCs w:val="28"/>
        </w:rPr>
        <w:t xml:space="preserve"> </w:t>
      </w:r>
      <w:r w:rsidR="001C4F31" w:rsidRPr="003676F1">
        <w:rPr>
          <w:rFonts w:ascii="Times New Roman" w:eastAsia="Calibri" w:hAnsi="Times New Roman" w:cs="Times New Roman"/>
          <w:sz w:val="28"/>
          <w:szCs w:val="28"/>
        </w:rPr>
        <w:t xml:space="preserve">проекта </w:t>
      </w:r>
      <w:r w:rsidRPr="003676F1">
        <w:rPr>
          <w:rFonts w:ascii="Times New Roman" w:eastAsia="Calibri" w:hAnsi="Times New Roman" w:cs="Times New Roman"/>
          <w:sz w:val="28"/>
          <w:szCs w:val="28"/>
        </w:rPr>
        <w:t xml:space="preserve">Основных направлений </w:t>
      </w:r>
      <w:r w:rsidR="00BE3D82" w:rsidRPr="003676F1">
        <w:rPr>
          <w:rFonts w:ascii="Times New Roman" w:eastAsia="Calibri" w:hAnsi="Times New Roman" w:cs="Times New Roman"/>
          <w:sz w:val="28"/>
          <w:szCs w:val="28"/>
        </w:rPr>
        <w:t>бюджетной</w:t>
      </w:r>
      <w:r w:rsidR="001C4F31" w:rsidRPr="003676F1">
        <w:rPr>
          <w:rFonts w:ascii="Times New Roman" w:eastAsia="Calibri" w:hAnsi="Times New Roman" w:cs="Times New Roman"/>
          <w:sz w:val="28"/>
          <w:szCs w:val="28"/>
        </w:rPr>
        <w:t>, налоговой и таможенно-тарифной</w:t>
      </w:r>
      <w:r w:rsidR="00BE3D82" w:rsidRPr="003676F1">
        <w:rPr>
          <w:rFonts w:ascii="Times New Roman" w:eastAsia="Calibri" w:hAnsi="Times New Roman" w:cs="Times New Roman"/>
          <w:sz w:val="28"/>
          <w:szCs w:val="28"/>
        </w:rPr>
        <w:t xml:space="preserve"> политики</w:t>
      </w:r>
      <w:r w:rsidR="00860761" w:rsidRPr="003676F1">
        <w:rPr>
          <w:rFonts w:ascii="Times New Roman" w:eastAsia="Calibri" w:hAnsi="Times New Roman" w:cs="Times New Roman"/>
          <w:sz w:val="28"/>
          <w:szCs w:val="28"/>
        </w:rPr>
        <w:t xml:space="preserve"> Российской Федерации</w:t>
      </w:r>
      <w:r w:rsidR="00BE3D82" w:rsidRPr="003676F1">
        <w:rPr>
          <w:rFonts w:ascii="Times New Roman" w:eastAsia="Calibri" w:hAnsi="Times New Roman" w:cs="Times New Roman"/>
          <w:sz w:val="28"/>
          <w:szCs w:val="28"/>
        </w:rPr>
        <w:t xml:space="preserve"> на 201</w:t>
      </w:r>
      <w:r w:rsidR="001C4F31" w:rsidRPr="003676F1">
        <w:rPr>
          <w:rFonts w:ascii="Times New Roman" w:eastAsia="Calibri" w:hAnsi="Times New Roman" w:cs="Times New Roman"/>
          <w:sz w:val="28"/>
          <w:szCs w:val="28"/>
        </w:rPr>
        <w:t>8</w:t>
      </w:r>
      <w:r w:rsidR="00BE3D82" w:rsidRPr="003676F1">
        <w:rPr>
          <w:rFonts w:ascii="Times New Roman" w:eastAsia="Calibri" w:hAnsi="Times New Roman" w:cs="Times New Roman"/>
          <w:sz w:val="28"/>
          <w:szCs w:val="28"/>
        </w:rPr>
        <w:t xml:space="preserve"> год и на плановый период 201</w:t>
      </w:r>
      <w:r w:rsidR="001C4F31" w:rsidRPr="003676F1">
        <w:rPr>
          <w:rFonts w:ascii="Times New Roman" w:eastAsia="Calibri" w:hAnsi="Times New Roman" w:cs="Times New Roman"/>
          <w:sz w:val="28"/>
          <w:szCs w:val="28"/>
        </w:rPr>
        <w:t>9</w:t>
      </w:r>
      <w:r w:rsidR="00BE3D82" w:rsidRPr="003676F1">
        <w:rPr>
          <w:rFonts w:ascii="Times New Roman" w:eastAsia="Calibri" w:hAnsi="Times New Roman" w:cs="Times New Roman"/>
          <w:sz w:val="28"/>
          <w:szCs w:val="28"/>
        </w:rPr>
        <w:t xml:space="preserve"> и 20</w:t>
      </w:r>
      <w:r w:rsidR="001C4F31" w:rsidRPr="003676F1">
        <w:rPr>
          <w:rFonts w:ascii="Times New Roman" w:eastAsia="Calibri" w:hAnsi="Times New Roman" w:cs="Times New Roman"/>
          <w:sz w:val="28"/>
          <w:szCs w:val="28"/>
        </w:rPr>
        <w:t>20</w:t>
      </w:r>
      <w:r w:rsidR="00BE3D82" w:rsidRPr="003676F1">
        <w:rPr>
          <w:rFonts w:ascii="Times New Roman" w:eastAsia="Calibri" w:hAnsi="Times New Roman" w:cs="Times New Roman"/>
          <w:sz w:val="28"/>
          <w:szCs w:val="28"/>
        </w:rPr>
        <w:t xml:space="preserve"> годов</w:t>
      </w:r>
      <w:r w:rsidR="001C4F31" w:rsidRPr="003676F1">
        <w:rPr>
          <w:rFonts w:ascii="Times New Roman" w:eastAsia="Calibri" w:hAnsi="Times New Roman" w:cs="Times New Roman"/>
          <w:sz w:val="28"/>
          <w:szCs w:val="28"/>
        </w:rPr>
        <w:t>,</w:t>
      </w:r>
      <w:r w:rsidR="00BE3D82" w:rsidRPr="003676F1">
        <w:rPr>
          <w:rFonts w:ascii="Times New Roman" w:eastAsia="Calibri" w:hAnsi="Times New Roman" w:cs="Times New Roman"/>
          <w:sz w:val="28"/>
          <w:szCs w:val="28"/>
        </w:rPr>
        <w:t xml:space="preserve"> указов Президента Российской Федерации от 7 мая 2012 года, государственных программ Иркутской области.</w:t>
      </w:r>
    </w:p>
    <w:p w14:paraId="5A328261" w14:textId="1F181E35" w:rsidR="009F67C1" w:rsidRPr="008C05EC" w:rsidRDefault="009F67C1" w:rsidP="00FC42E7">
      <w:pPr>
        <w:pStyle w:val="1"/>
        <w:numPr>
          <w:ilvl w:val="0"/>
          <w:numId w:val="24"/>
        </w:numPr>
        <w:tabs>
          <w:tab w:val="left" w:pos="284"/>
        </w:tabs>
        <w:ind w:left="0" w:firstLine="0"/>
        <w:jc w:val="center"/>
        <w:rPr>
          <w:rFonts w:ascii="Times New Roman" w:hAnsi="Times New Roman" w:cs="Times New Roman"/>
          <w:b/>
          <w:color w:val="auto"/>
          <w:sz w:val="28"/>
          <w:u w:val="single"/>
        </w:rPr>
      </w:pPr>
      <w:bookmarkStart w:id="0" w:name="_Toc496702975"/>
      <w:r w:rsidRPr="008C05EC">
        <w:rPr>
          <w:rFonts w:ascii="Times New Roman" w:hAnsi="Times New Roman" w:cs="Times New Roman"/>
          <w:b/>
          <w:color w:val="auto"/>
          <w:sz w:val="28"/>
          <w:u w:val="single"/>
        </w:rPr>
        <w:t>Итоги реализации бюджетной и налоговой политики</w:t>
      </w:r>
      <w:r w:rsidR="00FC42E7" w:rsidRPr="008C05EC">
        <w:rPr>
          <w:rFonts w:ascii="Times New Roman" w:hAnsi="Times New Roman" w:cs="Times New Roman"/>
          <w:b/>
          <w:color w:val="auto"/>
          <w:sz w:val="28"/>
          <w:u w:val="single"/>
        </w:rPr>
        <w:t xml:space="preserve"> </w:t>
      </w:r>
      <w:r w:rsidRPr="008C05EC">
        <w:rPr>
          <w:rFonts w:ascii="Times New Roman" w:hAnsi="Times New Roman" w:cs="Times New Roman"/>
          <w:b/>
          <w:color w:val="auto"/>
          <w:sz w:val="28"/>
          <w:u w:val="single"/>
        </w:rPr>
        <w:t>в 2016 -2017 годах</w:t>
      </w:r>
      <w:bookmarkEnd w:id="0"/>
    </w:p>
    <w:p w14:paraId="2127FFB8" w14:textId="2F4C001F" w:rsidR="00795E62" w:rsidRPr="006D2BF9" w:rsidRDefault="009F67C1" w:rsidP="00FC42E7">
      <w:pPr>
        <w:pStyle w:val="2"/>
        <w:tabs>
          <w:tab w:val="left" w:pos="426"/>
        </w:tabs>
        <w:rPr>
          <w:rFonts w:ascii="Times New Roman" w:eastAsia="Times New Roman" w:hAnsi="Times New Roman" w:cs="Times New Roman"/>
          <w:b/>
          <w:sz w:val="28"/>
          <w:lang w:eastAsia="ru-RU"/>
        </w:rPr>
      </w:pPr>
      <w:bookmarkStart w:id="1" w:name="_Toc496702976"/>
      <w:r w:rsidRPr="006D2BF9">
        <w:rPr>
          <w:rFonts w:ascii="Times New Roman" w:eastAsia="Times New Roman" w:hAnsi="Times New Roman" w:cs="Times New Roman"/>
          <w:b/>
          <w:sz w:val="28"/>
          <w:lang w:eastAsia="ru-RU"/>
        </w:rPr>
        <w:t>1</w:t>
      </w:r>
      <w:r w:rsidR="00B61E98" w:rsidRPr="006D2BF9">
        <w:rPr>
          <w:rFonts w:ascii="Times New Roman" w:eastAsia="Times New Roman" w:hAnsi="Times New Roman" w:cs="Times New Roman"/>
          <w:b/>
          <w:sz w:val="28"/>
          <w:lang w:eastAsia="ru-RU"/>
        </w:rPr>
        <w:t>.</w:t>
      </w:r>
      <w:r w:rsidR="00B61E98" w:rsidRPr="006D2BF9">
        <w:rPr>
          <w:rFonts w:ascii="Times New Roman" w:eastAsia="Times New Roman" w:hAnsi="Times New Roman" w:cs="Times New Roman"/>
          <w:b/>
          <w:sz w:val="28"/>
          <w:lang w:eastAsia="ru-RU"/>
        </w:rPr>
        <w:tab/>
        <w:t>Итоги реализации налоговой политики в 2016 -2017 годах</w:t>
      </w:r>
      <w:bookmarkEnd w:id="1"/>
    </w:p>
    <w:p w14:paraId="4DCFA7C4" w14:textId="77777777" w:rsidR="00A12D86" w:rsidRPr="00A12D86" w:rsidRDefault="00A12D86" w:rsidP="003676F1">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 xml:space="preserve">После произошедшего в 2013 году падения налоговых и неналоговых доходов консолидированного бюджета Иркутской области, связанного, в первую очередь, с резким сокращением поступлений </w:t>
      </w:r>
      <w:proofErr w:type="spellStart"/>
      <w:r w:rsidRPr="00A12D86">
        <w:rPr>
          <w:rFonts w:ascii="Times New Roman" w:eastAsia="Calibri" w:hAnsi="Times New Roman" w:cs="Times New Roman"/>
          <w:sz w:val="28"/>
          <w:szCs w:val="28"/>
        </w:rPr>
        <w:t>бюджетообразующего</w:t>
      </w:r>
      <w:proofErr w:type="spellEnd"/>
      <w:r w:rsidRPr="00A12D86">
        <w:rPr>
          <w:rFonts w:ascii="Times New Roman" w:eastAsia="Calibri" w:hAnsi="Times New Roman" w:cs="Times New Roman"/>
          <w:sz w:val="28"/>
          <w:szCs w:val="28"/>
        </w:rPr>
        <w:t xml:space="preserve"> налога на прибыль, наметилась тенденция существенного отставания темпов роста доходной части от индекса потребительских цен (тарифов) на все товары и услуги в регионе.</w:t>
      </w:r>
    </w:p>
    <w:p w14:paraId="3263F14E" w14:textId="77777777" w:rsidR="00A12D86" w:rsidRPr="00A12D86" w:rsidRDefault="00A12D86" w:rsidP="00A12D86">
      <w:pPr>
        <w:autoSpaceDE w:val="0"/>
        <w:autoSpaceDN w:val="0"/>
        <w:adjustRightInd w:val="0"/>
        <w:spacing w:after="0" w:line="240" w:lineRule="auto"/>
        <w:jc w:val="both"/>
        <w:rPr>
          <w:rFonts w:ascii="Times New Roman" w:eastAsia="Calibri" w:hAnsi="Times New Roman" w:cs="Times New Roman"/>
          <w:sz w:val="28"/>
          <w:szCs w:val="28"/>
        </w:rPr>
      </w:pPr>
      <w:r w:rsidRPr="00A12D86">
        <w:rPr>
          <w:rFonts w:ascii="Calibri" w:eastAsia="Calibri" w:hAnsi="Calibri" w:cs="Times New Roman"/>
          <w:noProof/>
          <w:lang w:eastAsia="ru-RU"/>
        </w:rPr>
        <w:drawing>
          <wp:inline distT="0" distB="0" distL="0" distR="0" wp14:anchorId="2A057BB0" wp14:editId="5BD5C3CD">
            <wp:extent cx="5940425" cy="3886200"/>
            <wp:effectExtent l="0" t="0" r="3175" b="0"/>
            <wp:docPr id="1" name="Диаграмма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95E2135-1F6A-4EAF-B4A6-5599ABC10F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2D14C7" w14:textId="77777777" w:rsidR="00A12D86" w:rsidRPr="00A12D86" w:rsidRDefault="00A12D86" w:rsidP="00A12D86">
      <w:pPr>
        <w:autoSpaceDE w:val="0"/>
        <w:autoSpaceDN w:val="0"/>
        <w:adjustRightInd w:val="0"/>
        <w:spacing w:after="0" w:line="240" w:lineRule="auto"/>
        <w:jc w:val="both"/>
        <w:rPr>
          <w:rFonts w:ascii="Times New Roman" w:eastAsia="Calibri" w:hAnsi="Times New Roman" w:cs="Times New Roman"/>
          <w:sz w:val="20"/>
          <w:szCs w:val="20"/>
        </w:rPr>
      </w:pPr>
      <w:r w:rsidRPr="00A12D86">
        <w:rPr>
          <w:rFonts w:ascii="Times New Roman" w:eastAsia="Calibri" w:hAnsi="Times New Roman" w:cs="Times New Roman"/>
          <w:sz w:val="20"/>
          <w:szCs w:val="20"/>
        </w:rPr>
        <w:t>* в части 2017 года – использован план по доходам консолидированного бюджета по данным бюджетной отчетности на 1 сентября 2017 года; в части индекса потребительских цен (тарифов) – уровень, зафиксированный Росстатом на 1 сентября 2017 года.</w:t>
      </w:r>
    </w:p>
    <w:p w14:paraId="3F82EF29" w14:textId="77777777" w:rsidR="00A12D86" w:rsidRPr="00A12D86" w:rsidRDefault="00A12D86" w:rsidP="00A12D86">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1D1DBBB5" w14:textId="14E4B75C" w:rsidR="00A12D86" w:rsidRPr="00A12D86" w:rsidRDefault="00A12D86" w:rsidP="003676F1">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Таким образом, генерируемые региональной экономикой платежи в бюджет не успевали за ростом цен, что приводило к росту дефицита и уровня государственного (муниципального) долга.</w:t>
      </w:r>
    </w:p>
    <w:p w14:paraId="18B6D0FE" w14:textId="3AAC3D60" w:rsidR="00A12D86" w:rsidRPr="00A12D86" w:rsidRDefault="00A12D86" w:rsidP="003676F1">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В 2016-2017 годах</w:t>
      </w:r>
      <w:r w:rsidR="00E32C46">
        <w:rPr>
          <w:rFonts w:ascii="Times New Roman" w:eastAsia="Calibri" w:hAnsi="Times New Roman" w:cs="Times New Roman"/>
          <w:sz w:val="28"/>
          <w:szCs w:val="28"/>
        </w:rPr>
        <w:t>,</w:t>
      </w:r>
      <w:r w:rsidRPr="00A12D86">
        <w:rPr>
          <w:rFonts w:ascii="Times New Roman" w:eastAsia="Calibri" w:hAnsi="Times New Roman" w:cs="Times New Roman"/>
          <w:sz w:val="28"/>
          <w:szCs w:val="28"/>
        </w:rPr>
        <w:t xml:space="preserve"> благодаря мерам по наращиванию собственного налогового потенциала и </w:t>
      </w:r>
      <w:proofErr w:type="spellStart"/>
      <w:r w:rsidRPr="00A12D86">
        <w:rPr>
          <w:rFonts w:ascii="Times New Roman" w:eastAsia="Calibri" w:hAnsi="Times New Roman" w:cs="Times New Roman"/>
          <w:sz w:val="28"/>
          <w:szCs w:val="28"/>
        </w:rPr>
        <w:t>таргетированию</w:t>
      </w:r>
      <w:proofErr w:type="spellEnd"/>
      <w:r w:rsidRPr="00A12D86">
        <w:rPr>
          <w:rFonts w:ascii="Times New Roman" w:eastAsia="Calibri" w:hAnsi="Times New Roman" w:cs="Times New Roman"/>
          <w:sz w:val="28"/>
          <w:szCs w:val="28"/>
        </w:rPr>
        <w:t xml:space="preserve"> инфляции</w:t>
      </w:r>
      <w:r w:rsidR="00E32C46">
        <w:rPr>
          <w:rFonts w:ascii="Times New Roman" w:eastAsia="Calibri" w:hAnsi="Times New Roman" w:cs="Times New Roman"/>
          <w:sz w:val="28"/>
          <w:szCs w:val="28"/>
        </w:rPr>
        <w:t>,</w:t>
      </w:r>
      <w:r w:rsidRPr="00A12D86">
        <w:rPr>
          <w:rFonts w:ascii="Times New Roman" w:eastAsia="Calibri" w:hAnsi="Times New Roman" w:cs="Times New Roman"/>
          <w:sz w:val="28"/>
          <w:szCs w:val="28"/>
        </w:rPr>
        <w:t xml:space="preserve"> накопленные с 2011 года темпы роста инфляции и доходов консолидированного бюджета сблизились, однако, не поменялись местами по своему значению.</w:t>
      </w:r>
    </w:p>
    <w:p w14:paraId="387C69A1" w14:textId="65334D96" w:rsidR="00A12D86" w:rsidRDefault="00A12D86" w:rsidP="003676F1">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 xml:space="preserve">В этой связи основной задачей налоговой политики </w:t>
      </w:r>
      <w:r w:rsidR="007556D7">
        <w:rPr>
          <w:rFonts w:ascii="Times New Roman" w:eastAsia="Calibri" w:hAnsi="Times New Roman" w:cs="Times New Roman"/>
          <w:sz w:val="28"/>
          <w:szCs w:val="28"/>
        </w:rPr>
        <w:t>является</w:t>
      </w:r>
      <w:r w:rsidRPr="00A12D86">
        <w:rPr>
          <w:rFonts w:ascii="Times New Roman" w:eastAsia="Calibri" w:hAnsi="Times New Roman" w:cs="Times New Roman"/>
          <w:sz w:val="28"/>
          <w:szCs w:val="28"/>
        </w:rPr>
        <w:t xml:space="preserve"> стимулирование экономического роста до уровня, который будет обеспечиваться не простым увеличением цен, а превосходить его в результате инвестиционного и инновационного развития, вложений в человеческий капитал.</w:t>
      </w:r>
    </w:p>
    <w:p w14:paraId="02B45DA1" w14:textId="77777777" w:rsidR="006D2BF9" w:rsidRPr="006D2BF9" w:rsidRDefault="006D2BF9" w:rsidP="003676F1">
      <w:pPr>
        <w:spacing w:after="0" w:line="240" w:lineRule="auto"/>
        <w:ind w:firstLine="709"/>
        <w:jc w:val="both"/>
        <w:rPr>
          <w:rFonts w:ascii="Times New Roman" w:eastAsia="Calibri" w:hAnsi="Times New Roman" w:cs="Times New Roman"/>
          <w:sz w:val="20"/>
          <w:szCs w:val="28"/>
        </w:rPr>
      </w:pPr>
    </w:p>
    <w:p w14:paraId="17ED18A9" w14:textId="2423E76C" w:rsidR="00A12D86" w:rsidRPr="006D2BF9" w:rsidRDefault="009F67C1" w:rsidP="00894B3B">
      <w:pPr>
        <w:pStyle w:val="3"/>
        <w:rPr>
          <w:rFonts w:ascii="Times New Roman" w:eastAsia="Calibri" w:hAnsi="Times New Roman" w:cs="Times New Roman"/>
          <w:i/>
          <w:sz w:val="28"/>
        </w:rPr>
      </w:pPr>
      <w:bookmarkStart w:id="2" w:name="_Toc496702977"/>
      <w:r w:rsidRPr="006D2BF9">
        <w:rPr>
          <w:rFonts w:ascii="Times New Roman" w:eastAsia="Calibri" w:hAnsi="Times New Roman" w:cs="Times New Roman"/>
          <w:i/>
          <w:sz w:val="28"/>
        </w:rPr>
        <w:t xml:space="preserve">1.1 </w:t>
      </w:r>
      <w:r w:rsidR="00A12D86" w:rsidRPr="006D2BF9">
        <w:rPr>
          <w:rFonts w:ascii="Times New Roman" w:eastAsia="Calibri" w:hAnsi="Times New Roman" w:cs="Times New Roman"/>
          <w:i/>
          <w:sz w:val="28"/>
        </w:rPr>
        <w:t xml:space="preserve">Региональная налоговая нагрузка на субъекты предпринимательской </w:t>
      </w:r>
      <w:r w:rsidR="00B61E98" w:rsidRPr="006D2BF9">
        <w:rPr>
          <w:rFonts w:ascii="Times New Roman" w:eastAsia="Calibri" w:hAnsi="Times New Roman" w:cs="Times New Roman"/>
          <w:i/>
          <w:sz w:val="28"/>
        </w:rPr>
        <w:t>д</w:t>
      </w:r>
      <w:r w:rsidR="00A12D86" w:rsidRPr="006D2BF9">
        <w:rPr>
          <w:rFonts w:ascii="Times New Roman" w:eastAsia="Calibri" w:hAnsi="Times New Roman" w:cs="Times New Roman"/>
          <w:i/>
          <w:sz w:val="28"/>
        </w:rPr>
        <w:t>еятельности в Иркутской области и субъектах Российской Федерации</w:t>
      </w:r>
      <w:bookmarkEnd w:id="2"/>
    </w:p>
    <w:p w14:paraId="7DD7D6B2" w14:textId="77777777" w:rsidR="00A12D86" w:rsidRPr="00A12D86" w:rsidRDefault="00A12D86" w:rsidP="003676F1">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 xml:space="preserve">Важным индикатором развития малого и среднего предпринимательства является упрощенная система налогообложения (далее - УСН). </w:t>
      </w:r>
    </w:p>
    <w:p w14:paraId="5C54598E" w14:textId="77777777" w:rsidR="00A12D86" w:rsidRPr="00A12D86" w:rsidRDefault="00A12D86" w:rsidP="00A12D86">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 xml:space="preserve">По итогам 2016 года количество налогоплательщиков Иркутской области, предоставивших налоговые декларации по УСН, составило 45 477 единиц, увеличившись относительно уровня 2015 года на 1 559 налогоплательщиков или на 3,5%. Наблюдавшаяся в Иркутской области в 2016 году динамика роста популярности применения УСН на 1,5 </w:t>
      </w:r>
      <w:proofErr w:type="spellStart"/>
      <w:r w:rsidRPr="00A12D86">
        <w:rPr>
          <w:rFonts w:ascii="Times New Roman" w:eastAsia="Calibri" w:hAnsi="Times New Roman" w:cs="Times New Roman"/>
          <w:sz w:val="28"/>
          <w:szCs w:val="28"/>
        </w:rPr>
        <w:t>п.п</w:t>
      </w:r>
      <w:proofErr w:type="spellEnd"/>
      <w:r w:rsidRPr="00A12D86">
        <w:rPr>
          <w:rFonts w:ascii="Times New Roman" w:eastAsia="Calibri" w:hAnsi="Times New Roman" w:cs="Times New Roman"/>
          <w:sz w:val="28"/>
          <w:szCs w:val="28"/>
        </w:rPr>
        <w:t>. превосходит средний по стране темп роста (102,0%) и является 12 по величине значением среди субъектов Российской Федерации.</w:t>
      </w:r>
    </w:p>
    <w:p w14:paraId="2AFC9632" w14:textId="7AEAC0D4" w:rsidR="00A12D86" w:rsidRDefault="00A12D86" w:rsidP="00A12D86">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В структуре плательщиков УСН преобладают организации (55%).</w:t>
      </w:r>
    </w:p>
    <w:p w14:paraId="1857B4FF" w14:textId="129CA2D3" w:rsidR="003368A6" w:rsidRDefault="003368A6" w:rsidP="003368A6">
      <w:pPr>
        <w:spacing w:after="0" w:line="240" w:lineRule="auto"/>
        <w:jc w:val="both"/>
        <w:rPr>
          <w:rFonts w:ascii="Times New Roman" w:eastAsia="Calibri" w:hAnsi="Times New Roman" w:cs="Times New Roman"/>
          <w:sz w:val="28"/>
          <w:szCs w:val="28"/>
        </w:rPr>
      </w:pPr>
      <w:r w:rsidRPr="00782E13">
        <w:rPr>
          <w:rFonts w:ascii="Times New Roman" w:hAnsi="Times New Roman" w:cs="Times New Roman"/>
          <w:noProof/>
          <w:sz w:val="28"/>
          <w:szCs w:val="28"/>
          <w:lang w:eastAsia="ru-RU"/>
        </w:rPr>
        <w:drawing>
          <wp:inline distT="0" distB="0" distL="0" distR="0" wp14:anchorId="1E1F4143" wp14:editId="010B0675">
            <wp:extent cx="5905500" cy="26574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D759F2" w14:textId="77777777" w:rsidR="00F53DB4" w:rsidRPr="00F53DB4" w:rsidRDefault="00F53DB4" w:rsidP="00F53DB4">
      <w:pPr>
        <w:spacing w:after="0" w:line="240" w:lineRule="auto"/>
        <w:ind w:firstLine="709"/>
        <w:jc w:val="both"/>
        <w:rPr>
          <w:rFonts w:ascii="Times New Roman" w:eastAsia="Calibri" w:hAnsi="Times New Roman" w:cs="Times New Roman"/>
          <w:sz w:val="28"/>
          <w:szCs w:val="28"/>
        </w:rPr>
      </w:pPr>
      <w:r w:rsidRPr="00F53DB4">
        <w:rPr>
          <w:rFonts w:ascii="Times New Roman" w:eastAsia="Calibri" w:hAnsi="Times New Roman" w:cs="Times New Roman"/>
          <w:sz w:val="28"/>
          <w:szCs w:val="28"/>
        </w:rPr>
        <w:t>Сумма официально задекларированного налогоплательщиками УСН дохода, как при применении в качестве налоговой базы доходов, так и их разницы с расходами, позволяет оценить финансовое положение субъектов малого и среднего предпринимательства в целом.</w:t>
      </w:r>
    </w:p>
    <w:p w14:paraId="6ACF99C5" w14:textId="77777777" w:rsidR="00B61E98" w:rsidRDefault="00A12D86" w:rsidP="003676F1">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По итогам 2016 года средний доход одного налогоплательщика УСН в Иркутской области составил 5 958 тыс. рублей, что является 16 по величине значением среди регионов страны и максимальным в Сибирском федеральном округе.</w:t>
      </w:r>
    </w:p>
    <w:p w14:paraId="2482743F" w14:textId="7A8C135C" w:rsidR="00A12D86" w:rsidRPr="00A12D86" w:rsidRDefault="00A12D86" w:rsidP="00B61E98">
      <w:pPr>
        <w:spacing w:after="0" w:line="240" w:lineRule="auto"/>
        <w:jc w:val="both"/>
        <w:rPr>
          <w:rFonts w:ascii="Times New Roman" w:eastAsia="Calibri" w:hAnsi="Times New Roman" w:cs="Times New Roman"/>
          <w:sz w:val="28"/>
          <w:szCs w:val="28"/>
        </w:rPr>
      </w:pPr>
      <w:r w:rsidRPr="00A12D86">
        <w:rPr>
          <w:rFonts w:ascii="Times New Roman" w:eastAsia="Calibri" w:hAnsi="Times New Roman" w:cs="Times New Roman"/>
          <w:noProof/>
          <w:sz w:val="28"/>
          <w:szCs w:val="28"/>
          <w:lang w:eastAsia="ru-RU"/>
        </w:rPr>
        <w:drawing>
          <wp:inline distT="0" distB="0" distL="0" distR="0" wp14:anchorId="6918D141" wp14:editId="14619636">
            <wp:extent cx="5934075" cy="32385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B26A62" w14:textId="77777777" w:rsidR="00A12D86" w:rsidRPr="00A12D86" w:rsidRDefault="00A12D86" w:rsidP="00A12D86">
      <w:pPr>
        <w:autoSpaceDE w:val="0"/>
        <w:autoSpaceDN w:val="0"/>
        <w:adjustRightInd w:val="0"/>
        <w:spacing w:after="0" w:line="240" w:lineRule="auto"/>
        <w:jc w:val="both"/>
        <w:rPr>
          <w:rFonts w:ascii="Times New Roman" w:eastAsia="Calibri" w:hAnsi="Times New Roman" w:cs="Times New Roman"/>
          <w:sz w:val="20"/>
          <w:szCs w:val="20"/>
        </w:rPr>
      </w:pPr>
      <w:r w:rsidRPr="00A12D86">
        <w:rPr>
          <w:rFonts w:ascii="Times New Roman" w:eastAsia="Calibri" w:hAnsi="Times New Roman" w:cs="Times New Roman"/>
          <w:sz w:val="20"/>
          <w:szCs w:val="20"/>
        </w:rPr>
        <w:t>* без учета налогоплательщиков, представивших нулевую отчетность.</w:t>
      </w:r>
    </w:p>
    <w:p w14:paraId="46A805BF" w14:textId="02556984"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Благоприятное влияние на развитие предпринимательства в Иркутской области оказывает предоставление пониженных налоговых ставок для налогоплательщиков, применяющих УСН и выбравших в качестве объекта налогообложения разницу между доходами и расходами. Размер предоставленной таким 240 налогоплательщикам в 2016 году налоговой льготы в приоритетных для региона отраслях экономики составил 59 959 тыс. рублей, что на 12 670 тыс. рублей или на 27% выше уровня 2015 года.</w:t>
      </w:r>
    </w:p>
    <w:p w14:paraId="36F1498D" w14:textId="77777777" w:rsidR="00A12D86" w:rsidRPr="00A12D86" w:rsidRDefault="00A12D86" w:rsidP="00A12D86">
      <w:pPr>
        <w:spacing w:after="0" w:line="276" w:lineRule="auto"/>
        <w:jc w:val="both"/>
        <w:rPr>
          <w:rFonts w:ascii="Times New Roman" w:eastAsia="Calibri" w:hAnsi="Times New Roman" w:cs="Times New Roman"/>
          <w:sz w:val="28"/>
          <w:szCs w:val="28"/>
        </w:rPr>
      </w:pPr>
      <w:r w:rsidRPr="00A12D86">
        <w:rPr>
          <w:rFonts w:ascii="Times New Roman" w:eastAsia="Calibri" w:hAnsi="Times New Roman" w:cs="Times New Roman"/>
          <w:noProof/>
          <w:sz w:val="28"/>
          <w:szCs w:val="28"/>
          <w:lang w:eastAsia="ru-RU"/>
        </w:rPr>
        <w:drawing>
          <wp:inline distT="0" distB="0" distL="0" distR="0" wp14:anchorId="15C20292" wp14:editId="4EE9509D">
            <wp:extent cx="5895975"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9F85E8"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Помимо предложения действующим налогоплательщикам дифференцированных налоговых ставок по УСН в приоритетных отраслях экономики в соответствии с Посланием Президента Российской Федерации Федеральному Собранию (от 4 декабря 2014 года) по облегчению налогового бремени для субъектов малого и среднего предпринимательства, начинающих ведение бизнеса, в Иркутской области с 1 января 2016 года была установлена нулевая налоговая ставка в течение двух налоговых периодов со дня регистрации для налогоплательщиков, осуществляющих деятельность в производственной, социальной, научной и(или) бытовой сферах.</w:t>
      </w:r>
    </w:p>
    <w:p w14:paraId="3FE0ED66"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Перечень видов деятельности, по которым предусмотрено применение налоговых каникул, максимально полно соответствует допустимому в соответствии с федеральным законодательством (Федеральный закон от 29 декабря 2014 года № 477-ФЗ «О внесении изменений в часть вторую Налогового кодекса Российской Федерации») и включает в себя, например, по упрощенной системе налогообложения 16 обобщающих классов общероссийского классификатора видов экономической деятельности, 3 подкласса и одну группу (производство игр и игрушек).</w:t>
      </w:r>
    </w:p>
    <w:p w14:paraId="33002CE9"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По итогам 2016 года налоговыми каникулами в Иркутской области воспользовались всего 33 индивидуальных предпринимателя, что является 47 по величине значением среди 73 субъектов Российской Федерации, в которых в 2016 году применялась нулевая ставка для вновь зарегистрированных налогоплательщиков.</w:t>
      </w:r>
    </w:p>
    <w:p w14:paraId="28C7ABBB"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Учитывая, что всего в Иркутской области по итогам 2016 года были зарегистрированы (внесены сведения в Единый государственный реестр индивидуальных предпринимателей) 10 530 индивидуальных предпринимателей (глав крестьянских (фермерских) хозяйств), то правом применить налоговые каникулы в регионе воспользовался лишь каждый 320 новый налогоплательщик.</w:t>
      </w:r>
    </w:p>
    <w:p w14:paraId="0F13EA8C" w14:textId="77777777" w:rsidR="00A12D86" w:rsidRPr="00A12D86" w:rsidRDefault="00A12D86" w:rsidP="005B03B9">
      <w:pPr>
        <w:spacing w:after="0" w:line="20" w:lineRule="atLeast"/>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Воспользовавшиеся налоговыми каникулами индивидуальные предприниматели не уплатили налог по УСН в бюджет Иркутской области в 2016 году в размере 8 438 тыс. рублей или 256 тыс. рублей на одного налогоплательщика.</w:t>
      </w:r>
    </w:p>
    <w:p w14:paraId="0A19A686" w14:textId="25E7A17A" w:rsidR="00A12D86" w:rsidRPr="00A12D86" w:rsidRDefault="00A12D86" w:rsidP="005B03B9">
      <w:pPr>
        <w:spacing w:after="0" w:line="20" w:lineRule="atLeast"/>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Закон</w:t>
      </w:r>
      <w:r w:rsidR="00006AF5">
        <w:rPr>
          <w:rFonts w:ascii="Times New Roman" w:eastAsia="Calibri" w:hAnsi="Times New Roman" w:cs="Times New Roman"/>
          <w:sz w:val="28"/>
          <w:szCs w:val="28"/>
        </w:rPr>
        <w:t>ом</w:t>
      </w:r>
      <w:r w:rsidRPr="00A12D86">
        <w:rPr>
          <w:rFonts w:ascii="Times New Roman" w:eastAsia="Calibri" w:hAnsi="Times New Roman" w:cs="Times New Roman"/>
          <w:sz w:val="28"/>
          <w:szCs w:val="28"/>
        </w:rPr>
        <w:t xml:space="preserve"> Иркутской области от 29.11.2012 № 124-ОЗ «О применении индивидуальными предпринимателями патентной системы налогообложения на территории Иркутской области» двухлетние налоговые каникулы также установлены с 1 января 2016 года для налогоплательщиков, осуществляющих деятельность в производственной, социальной, научной и(или) бытовой сферах и применяющих патентную систему налогообложения.</w:t>
      </w:r>
    </w:p>
    <w:p w14:paraId="151615DC" w14:textId="77777777" w:rsidR="00A12D86" w:rsidRPr="00A12D86" w:rsidRDefault="00A12D86" w:rsidP="005B03B9">
      <w:pPr>
        <w:spacing w:after="0" w:line="20" w:lineRule="atLeast"/>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По итогам 2016 года налоговыми каникулами в Иркутской области воспользовались всего 23 индивидуальных предпринимателя, что является лишь 38 по величине значением среди 72 субъектов Российской Федерации, в которых в 2016 году действовала нулевая ставка для вновь зарегистрированных налогоплательщиков.</w:t>
      </w:r>
    </w:p>
    <w:p w14:paraId="0B514EB9" w14:textId="5D8D94DE" w:rsidR="00A12D86" w:rsidRPr="00A12D86" w:rsidRDefault="00A12D86" w:rsidP="005B03B9">
      <w:pPr>
        <w:spacing w:after="0" w:line="20" w:lineRule="atLeast"/>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Учитывая, что всего в Иркутской области по итогам 2016 года было выдано 814 патентов, то правом применить налоговые каникулы в регионе воспользовался каждый 35 новый налогоплательщик.</w:t>
      </w:r>
    </w:p>
    <w:p w14:paraId="4945D2B8"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Наиболее распространенными видами деятельности при применении налоговых каникул по патенту стали репетиторство (9 из 23 выданных патентов), проведение занятий по физической культуре и спорту (5 патентов) и услуги по присмотру и уходу за детьми и больными (4 патента).</w:t>
      </w:r>
    </w:p>
    <w:p w14:paraId="16B1A993" w14:textId="2090034E"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Налоговые расходы местных бюджетов Иркутской области от предоставления налоговых каникул вновь зарегистрированным предпринимателям оцениваются в размере 515 тыс. рублей.</w:t>
      </w:r>
    </w:p>
    <w:p w14:paraId="38C31FE1" w14:textId="27064C79" w:rsid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 xml:space="preserve">Низкую распространенность налоговых каникул в регионе можно связать со слабой информированностью населения. </w:t>
      </w:r>
    </w:p>
    <w:p w14:paraId="37B09879" w14:textId="594ECE6F" w:rsidR="00B61E98" w:rsidRPr="00A12D86" w:rsidRDefault="00B61E98" w:rsidP="005B03B9">
      <w:pPr>
        <w:spacing w:after="0" w:line="240" w:lineRule="auto"/>
        <w:ind w:firstLine="709"/>
        <w:jc w:val="both"/>
        <w:rPr>
          <w:rFonts w:ascii="Times New Roman" w:eastAsia="Calibri" w:hAnsi="Times New Roman" w:cs="Times New Roman"/>
          <w:i/>
          <w:sz w:val="28"/>
          <w:szCs w:val="28"/>
          <w:u w:val="single"/>
        </w:rPr>
      </w:pPr>
    </w:p>
    <w:p w14:paraId="30AACC69" w14:textId="535429C2" w:rsidR="00A12D86" w:rsidRPr="006D2BF9" w:rsidRDefault="009F67C1" w:rsidP="00894B3B">
      <w:pPr>
        <w:pStyle w:val="3"/>
        <w:rPr>
          <w:rFonts w:ascii="Times New Roman" w:hAnsi="Times New Roman" w:cs="Times New Roman"/>
          <w:i/>
          <w:sz w:val="28"/>
        </w:rPr>
      </w:pPr>
      <w:bookmarkStart w:id="3" w:name="_Toc496702978"/>
      <w:r w:rsidRPr="006D2BF9">
        <w:rPr>
          <w:rFonts w:ascii="Times New Roman" w:hAnsi="Times New Roman" w:cs="Times New Roman"/>
          <w:i/>
          <w:sz w:val="28"/>
        </w:rPr>
        <w:t xml:space="preserve">1.2 </w:t>
      </w:r>
      <w:r w:rsidR="00A12D86" w:rsidRPr="006D2BF9">
        <w:rPr>
          <w:rFonts w:ascii="Times New Roman" w:hAnsi="Times New Roman" w:cs="Times New Roman"/>
          <w:i/>
          <w:sz w:val="28"/>
        </w:rPr>
        <w:t>Анализ принятых решений в области налоговой политики и их последствий</w:t>
      </w:r>
      <w:bookmarkEnd w:id="3"/>
    </w:p>
    <w:p w14:paraId="2370B189"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Проводимая в 2016-2017 годах региональная налоговая политика характеризуется стабильностью. Изменения законодательства Иркутской области о налогах и сборах имели точечный характер, несвязанный с увеличением нагрузки на реальный сектор экономики.</w:t>
      </w:r>
    </w:p>
    <w:p w14:paraId="3557A2FF" w14:textId="76FC98D2"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Было продолжено налоговое стимулирование инновационной деятельности, модернизации экономики, сохранения действующих производств и реализации инвестиционных проектов на территории Иркутской области. Льготный налоговый режим был установлен для резидентов территорий опережающего социально-экономического развития.</w:t>
      </w:r>
    </w:p>
    <w:p w14:paraId="7E14DC63"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Практически на неизменном (1,91 в 2016 году вместо 1,9 в 2015 году) уровне был сохранен коэффициент, отражающий особенности рынка труда на территории Иркутской области, используемый иностранными гражданами, осуществляющими трудовую деятельность по найму на основании патента для расчета налога на доходы физических лиц.</w:t>
      </w:r>
    </w:p>
    <w:p w14:paraId="0157B44F"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В 2016 году удалось мобилизовать в консолидированный бюджет Иркутской области 712 млн рублей налога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что является 7 по величине значением среди регионов страны и максимальным - в Сибирском федеральном округе.</w:t>
      </w:r>
    </w:p>
    <w:p w14:paraId="1CACF55F" w14:textId="77777777" w:rsidR="00A12D86" w:rsidRPr="00A12D86" w:rsidRDefault="00A12D86" w:rsidP="00A12D86">
      <w:pPr>
        <w:spacing w:after="0" w:line="240" w:lineRule="auto"/>
        <w:jc w:val="both"/>
        <w:rPr>
          <w:rFonts w:ascii="Times New Roman" w:eastAsia="Calibri" w:hAnsi="Times New Roman" w:cs="Times New Roman"/>
          <w:sz w:val="28"/>
          <w:szCs w:val="28"/>
        </w:rPr>
      </w:pPr>
      <w:r w:rsidRPr="00A12D86">
        <w:rPr>
          <w:rFonts w:ascii="Times New Roman" w:eastAsia="Calibri" w:hAnsi="Times New Roman" w:cs="Times New Roman"/>
          <w:noProof/>
          <w:sz w:val="28"/>
          <w:szCs w:val="28"/>
          <w:lang w:eastAsia="ru-RU"/>
        </w:rPr>
        <w:drawing>
          <wp:inline distT="0" distB="0" distL="0" distR="0" wp14:anchorId="67C66C00" wp14:editId="3F47F080">
            <wp:extent cx="5934075" cy="25908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4DF99B" w14:textId="1292D200"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Несмотря на свою актуальность не был решен вопрос перехода к налогообложению исходя из кадастровой стоимости имущества физических лиц и отдельных объектов недвижимости, определенных статьей 378.2 Налогового кодекса Российской Федерации.</w:t>
      </w:r>
    </w:p>
    <w:p w14:paraId="746D8835" w14:textId="1AC9ABEC"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 xml:space="preserve">Правительством Иркутской области был разработан и внесен в Законодательное Собрание Иркутской области проект закона о переходе к налогообложению исходя из кадастровой стоимости отдельных объектов, определенных статьей 378.2 Налогового кодекса Российской Федерации. Законопроектом предусматривалось поэтапное снижение площади объектов, вовлекаемых в налогообложение с 1000 </w:t>
      </w:r>
      <w:proofErr w:type="spellStart"/>
      <w:r w:rsidRPr="00A12D86">
        <w:rPr>
          <w:rFonts w:ascii="Times New Roman" w:eastAsia="Calibri" w:hAnsi="Times New Roman" w:cs="Times New Roman"/>
          <w:sz w:val="28"/>
          <w:szCs w:val="28"/>
        </w:rPr>
        <w:t>кв.м</w:t>
      </w:r>
      <w:proofErr w:type="spellEnd"/>
      <w:r w:rsidRPr="00A12D86">
        <w:rPr>
          <w:rFonts w:ascii="Times New Roman" w:eastAsia="Calibri" w:hAnsi="Times New Roman" w:cs="Times New Roman"/>
          <w:sz w:val="28"/>
          <w:szCs w:val="28"/>
        </w:rPr>
        <w:t xml:space="preserve">. в 2017 году до 250 </w:t>
      </w:r>
      <w:proofErr w:type="spellStart"/>
      <w:r w:rsidRPr="00A12D86">
        <w:rPr>
          <w:rFonts w:ascii="Times New Roman" w:eastAsia="Calibri" w:hAnsi="Times New Roman" w:cs="Times New Roman"/>
          <w:sz w:val="28"/>
          <w:szCs w:val="28"/>
        </w:rPr>
        <w:t>кв.м</w:t>
      </w:r>
      <w:proofErr w:type="spellEnd"/>
      <w:r w:rsidRPr="00A12D86">
        <w:rPr>
          <w:rFonts w:ascii="Times New Roman" w:eastAsia="Calibri" w:hAnsi="Times New Roman" w:cs="Times New Roman"/>
          <w:sz w:val="28"/>
          <w:szCs w:val="28"/>
        </w:rPr>
        <w:t>. в 2020 году.</w:t>
      </w:r>
    </w:p>
    <w:p w14:paraId="290F5A18"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В ходе рассмотрения законопроекта в первом чтении на сессии Законодательного Собрания Иркутской области 23 ноября 2016 года было принято решение о переходе к сплошному налогообложению торгово-офисной недвижимости, то есть о расширении налоговой базы путем налогообложения всех объектов, соответствующим критериям статьи 378.2 Налогового кодекса Российской Федерации, а не только объектов, чья площадь превышает определенный законом уровень.</w:t>
      </w:r>
    </w:p>
    <w:p w14:paraId="2399DF3A" w14:textId="77777777" w:rsidR="00006AF5"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Кардинальное изменение концепции законопроекта от его первоначальной версии потребовало дополнительных расчетов, результаты которых легли в основу поправок к законопроекту</w:t>
      </w:r>
      <w:r w:rsidR="00006AF5">
        <w:rPr>
          <w:rFonts w:ascii="Times New Roman" w:eastAsia="Calibri" w:hAnsi="Times New Roman" w:cs="Times New Roman"/>
          <w:sz w:val="28"/>
          <w:szCs w:val="28"/>
        </w:rPr>
        <w:t>.</w:t>
      </w:r>
    </w:p>
    <w:p w14:paraId="2DF7B8F5"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Итогами реализации региональной налоговой политики стало сохранение рейтинговых позиций среди регионов страны по мобилизации основных доходов бюджета.</w:t>
      </w:r>
    </w:p>
    <w:p w14:paraId="137F56DD" w14:textId="77777777" w:rsidR="00A12D86" w:rsidRPr="00A12D86" w:rsidRDefault="00A12D86" w:rsidP="00A12D86">
      <w:pPr>
        <w:spacing w:after="0" w:line="240" w:lineRule="auto"/>
        <w:jc w:val="both"/>
        <w:rPr>
          <w:rFonts w:ascii="Times New Roman" w:eastAsia="Calibri" w:hAnsi="Times New Roman" w:cs="Times New Roman"/>
          <w:sz w:val="28"/>
          <w:szCs w:val="28"/>
        </w:rPr>
      </w:pPr>
      <w:r w:rsidRPr="00A12D86">
        <w:rPr>
          <w:rFonts w:ascii="Calibri" w:eastAsia="Calibri" w:hAnsi="Calibri" w:cs="Times New Roman"/>
          <w:noProof/>
          <w:lang w:eastAsia="ru-RU"/>
        </w:rPr>
        <w:drawing>
          <wp:inline distT="0" distB="0" distL="0" distR="0" wp14:anchorId="6937A9DB" wp14:editId="177C12CC">
            <wp:extent cx="5940425" cy="3171825"/>
            <wp:effectExtent l="0" t="0" r="317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1D1CBC" w14:textId="77777777" w:rsidR="004D208D" w:rsidRDefault="004D208D" w:rsidP="00A12D86">
      <w:pPr>
        <w:spacing w:after="0" w:line="240" w:lineRule="auto"/>
        <w:ind w:firstLine="708"/>
        <w:jc w:val="both"/>
        <w:rPr>
          <w:rFonts w:ascii="Times New Roman" w:eastAsia="Calibri" w:hAnsi="Times New Roman" w:cs="Times New Roman"/>
          <w:sz w:val="28"/>
          <w:szCs w:val="28"/>
        </w:rPr>
      </w:pPr>
    </w:p>
    <w:p w14:paraId="5A381DC6" w14:textId="77777777" w:rsidR="004D208D" w:rsidRDefault="004D208D" w:rsidP="00A12D86">
      <w:pPr>
        <w:spacing w:after="0" w:line="240" w:lineRule="auto"/>
        <w:ind w:firstLine="708"/>
        <w:jc w:val="both"/>
        <w:rPr>
          <w:rFonts w:ascii="Times New Roman" w:eastAsia="Calibri" w:hAnsi="Times New Roman" w:cs="Times New Roman"/>
          <w:sz w:val="28"/>
          <w:szCs w:val="28"/>
        </w:rPr>
      </w:pPr>
    </w:p>
    <w:p w14:paraId="1734172E" w14:textId="0B3A64C2" w:rsidR="00A12D86" w:rsidRPr="00A12D86" w:rsidRDefault="00A12D86" w:rsidP="00A12D86">
      <w:pPr>
        <w:spacing w:after="0" w:line="240" w:lineRule="auto"/>
        <w:ind w:firstLine="708"/>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Другими ключевыми моментами 2016 года стали:</w:t>
      </w:r>
    </w:p>
    <w:p w14:paraId="446A10B5" w14:textId="4EAFE80A" w:rsidR="00A12D86" w:rsidRPr="00A12D86" w:rsidRDefault="00C72235" w:rsidP="00C72235">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00A12D86" w:rsidRPr="00A12D86">
        <w:rPr>
          <w:rFonts w:ascii="Times New Roman" w:eastAsia="Calibri" w:hAnsi="Times New Roman" w:cs="Times New Roman"/>
          <w:sz w:val="28"/>
          <w:szCs w:val="28"/>
        </w:rPr>
        <w:t>реодоление негативных последствий оспаривания кадастровой стоимости земель – достигнута положительная динамик</w:t>
      </w:r>
      <w:r w:rsidR="00E14B90">
        <w:rPr>
          <w:rFonts w:ascii="Times New Roman" w:eastAsia="Calibri" w:hAnsi="Times New Roman" w:cs="Times New Roman"/>
          <w:sz w:val="28"/>
          <w:szCs w:val="28"/>
        </w:rPr>
        <w:t>а</w:t>
      </w:r>
      <w:r w:rsidR="00A12D86" w:rsidRPr="00A12D86">
        <w:rPr>
          <w:rFonts w:ascii="Times New Roman" w:eastAsia="Calibri" w:hAnsi="Times New Roman" w:cs="Times New Roman"/>
          <w:sz w:val="28"/>
          <w:szCs w:val="28"/>
        </w:rPr>
        <w:t xml:space="preserve"> поступлений земельного налога (+18,9%), последовавшая за 3</w:t>
      </w:r>
      <w:r>
        <w:rPr>
          <w:rFonts w:ascii="Times New Roman" w:eastAsia="Calibri" w:hAnsi="Times New Roman" w:cs="Times New Roman"/>
          <w:sz w:val="28"/>
          <w:szCs w:val="28"/>
        </w:rPr>
        <w:t>4 процентным падением 2015 года;</w:t>
      </w:r>
    </w:p>
    <w:p w14:paraId="340FD728" w14:textId="04BFB79D" w:rsidR="00A12D86" w:rsidRPr="00A12D86" w:rsidRDefault="00C72235" w:rsidP="00C72235">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00A12D86" w:rsidRPr="00A12D86">
        <w:rPr>
          <w:rFonts w:ascii="Times New Roman" w:eastAsia="Calibri" w:hAnsi="Times New Roman" w:cs="Times New Roman"/>
          <w:sz w:val="28"/>
          <w:szCs w:val="28"/>
        </w:rPr>
        <w:t>роведен</w:t>
      </w:r>
      <w:r>
        <w:rPr>
          <w:rFonts w:ascii="Times New Roman" w:eastAsia="Calibri" w:hAnsi="Times New Roman" w:cs="Times New Roman"/>
          <w:sz w:val="28"/>
          <w:szCs w:val="28"/>
        </w:rPr>
        <w:t>ие</w:t>
      </w:r>
      <w:r w:rsidR="00A12D86" w:rsidRPr="00A12D86">
        <w:rPr>
          <w:rFonts w:ascii="Times New Roman" w:eastAsia="Calibri" w:hAnsi="Times New Roman" w:cs="Times New Roman"/>
          <w:sz w:val="28"/>
          <w:szCs w:val="28"/>
        </w:rPr>
        <w:t xml:space="preserve"> переоценк</w:t>
      </w:r>
      <w:r>
        <w:rPr>
          <w:rFonts w:ascii="Times New Roman" w:eastAsia="Calibri" w:hAnsi="Times New Roman" w:cs="Times New Roman"/>
          <w:sz w:val="28"/>
          <w:szCs w:val="28"/>
        </w:rPr>
        <w:t>и</w:t>
      </w:r>
      <w:r w:rsidR="00A12D86" w:rsidRPr="00A12D86">
        <w:rPr>
          <w:rFonts w:ascii="Times New Roman" w:eastAsia="Calibri" w:hAnsi="Times New Roman" w:cs="Times New Roman"/>
          <w:sz w:val="28"/>
          <w:szCs w:val="28"/>
        </w:rPr>
        <w:t xml:space="preserve"> объектов жилого и нежилого фондов, которая ляжет в основу решений по переходу к налогообложению торгово-офисной недвижимости и имущества физических лиц исходя из кадастровой ст</w:t>
      </w:r>
      <w:r>
        <w:rPr>
          <w:rFonts w:ascii="Times New Roman" w:eastAsia="Calibri" w:hAnsi="Times New Roman" w:cs="Times New Roman"/>
          <w:sz w:val="28"/>
          <w:szCs w:val="28"/>
        </w:rPr>
        <w:t>оимости;</w:t>
      </w:r>
    </w:p>
    <w:p w14:paraId="2AAA200E" w14:textId="6FBDA58C" w:rsidR="00C72235" w:rsidRDefault="00C72235" w:rsidP="00C72235">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осуществление к</w:t>
      </w:r>
      <w:r w:rsidR="00A12D86" w:rsidRPr="00A12D86">
        <w:rPr>
          <w:rFonts w:ascii="Times New Roman" w:eastAsia="Calibri" w:hAnsi="Times New Roman" w:cs="Times New Roman"/>
          <w:sz w:val="28"/>
          <w:szCs w:val="28"/>
        </w:rPr>
        <w:t>онтрол</w:t>
      </w:r>
      <w:r>
        <w:rPr>
          <w:rFonts w:ascii="Times New Roman" w:eastAsia="Calibri" w:hAnsi="Times New Roman" w:cs="Times New Roman"/>
          <w:sz w:val="28"/>
          <w:szCs w:val="28"/>
        </w:rPr>
        <w:t>я над</w:t>
      </w:r>
      <w:r w:rsidR="00A12D86" w:rsidRPr="00A12D86">
        <w:rPr>
          <w:rFonts w:ascii="Times New Roman" w:eastAsia="Calibri" w:hAnsi="Times New Roman" w:cs="Times New Roman"/>
          <w:sz w:val="28"/>
          <w:szCs w:val="28"/>
        </w:rPr>
        <w:t xml:space="preserve"> налогов</w:t>
      </w:r>
      <w:r>
        <w:rPr>
          <w:rFonts w:ascii="Times New Roman" w:eastAsia="Calibri" w:hAnsi="Times New Roman" w:cs="Times New Roman"/>
          <w:sz w:val="28"/>
          <w:szCs w:val="28"/>
        </w:rPr>
        <w:t>ой</w:t>
      </w:r>
      <w:r w:rsidR="00A12D86" w:rsidRPr="00A12D86">
        <w:rPr>
          <w:rFonts w:ascii="Times New Roman" w:eastAsia="Calibri" w:hAnsi="Times New Roman" w:cs="Times New Roman"/>
          <w:sz w:val="28"/>
          <w:szCs w:val="28"/>
        </w:rPr>
        <w:t xml:space="preserve"> отдач</w:t>
      </w:r>
      <w:r>
        <w:rPr>
          <w:rFonts w:ascii="Times New Roman" w:eastAsia="Calibri" w:hAnsi="Times New Roman" w:cs="Times New Roman"/>
          <w:sz w:val="28"/>
          <w:szCs w:val="28"/>
        </w:rPr>
        <w:t>ей</w:t>
      </w:r>
      <w:r w:rsidR="00A12D86" w:rsidRPr="00A12D86">
        <w:rPr>
          <w:rFonts w:ascii="Times New Roman" w:eastAsia="Calibri" w:hAnsi="Times New Roman" w:cs="Times New Roman"/>
          <w:sz w:val="28"/>
          <w:szCs w:val="28"/>
        </w:rPr>
        <w:t xml:space="preserve"> предприятий лесного комплекса, обязательные платежи которых в консолидированный бюджет за 2016 год составили 4,3 млрд рублей, увеличившись относительно уровня 2015 года на 62%.</w:t>
      </w:r>
    </w:p>
    <w:p w14:paraId="168E2B42" w14:textId="77777777" w:rsidR="00C72235" w:rsidRPr="004D208D" w:rsidRDefault="00C72235" w:rsidP="00C72235">
      <w:pPr>
        <w:tabs>
          <w:tab w:val="left" w:pos="993"/>
        </w:tabs>
        <w:spacing w:after="0" w:line="240" w:lineRule="auto"/>
        <w:ind w:firstLine="709"/>
        <w:contextualSpacing/>
        <w:jc w:val="both"/>
        <w:rPr>
          <w:rFonts w:ascii="Times New Roman" w:eastAsia="Calibri" w:hAnsi="Times New Roman" w:cs="Times New Roman"/>
          <w:szCs w:val="28"/>
        </w:rPr>
      </w:pPr>
    </w:p>
    <w:p w14:paraId="363FEB6E" w14:textId="41FB6A6C" w:rsidR="00A12D86" w:rsidRPr="006D2BF9" w:rsidRDefault="00894B3B" w:rsidP="00894B3B">
      <w:pPr>
        <w:pStyle w:val="3"/>
        <w:rPr>
          <w:rFonts w:ascii="Times New Roman" w:hAnsi="Times New Roman" w:cs="Times New Roman"/>
          <w:i/>
          <w:sz w:val="28"/>
        </w:rPr>
      </w:pPr>
      <w:bookmarkStart w:id="4" w:name="_Toc496702979"/>
      <w:r w:rsidRPr="006D2BF9">
        <w:rPr>
          <w:rFonts w:ascii="Times New Roman" w:hAnsi="Times New Roman" w:cs="Times New Roman"/>
          <w:i/>
          <w:sz w:val="28"/>
        </w:rPr>
        <w:t xml:space="preserve">1.3 </w:t>
      </w:r>
      <w:r w:rsidR="00A12D86" w:rsidRPr="006D2BF9">
        <w:rPr>
          <w:rFonts w:ascii="Times New Roman" w:hAnsi="Times New Roman" w:cs="Times New Roman"/>
          <w:i/>
          <w:sz w:val="28"/>
        </w:rPr>
        <w:t>Налоговые расходы бюджетной системы Иркутской области</w:t>
      </w:r>
      <w:bookmarkEnd w:id="4"/>
    </w:p>
    <w:p w14:paraId="4D37A045" w14:textId="77777777" w:rsidR="00A12D86" w:rsidRPr="00A12D86" w:rsidRDefault="00A12D86" w:rsidP="005B03B9">
      <w:pPr>
        <w:spacing w:after="0" w:line="240"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Налоговые расходы областного бюджета по налогу на прибыль и имущество организаций формируют большую часть всех налоговых расходов областного бюджета.</w:t>
      </w:r>
    </w:p>
    <w:p w14:paraId="6A0C5194" w14:textId="77777777" w:rsidR="00A12D86" w:rsidRPr="00A12D86" w:rsidRDefault="00A12D86" w:rsidP="00A12D86">
      <w:pPr>
        <w:spacing w:after="0" w:line="276" w:lineRule="auto"/>
        <w:jc w:val="both"/>
        <w:rPr>
          <w:rFonts w:ascii="Times New Roman" w:eastAsia="Calibri" w:hAnsi="Times New Roman" w:cs="Times New Roman"/>
          <w:sz w:val="28"/>
          <w:szCs w:val="28"/>
        </w:rPr>
      </w:pPr>
      <w:r w:rsidRPr="00A12D86">
        <w:rPr>
          <w:rFonts w:ascii="Times New Roman" w:eastAsia="Calibri" w:hAnsi="Times New Roman" w:cs="Times New Roman"/>
          <w:noProof/>
          <w:sz w:val="28"/>
          <w:szCs w:val="28"/>
          <w:lang w:eastAsia="ru-RU"/>
        </w:rPr>
        <w:drawing>
          <wp:inline distT="0" distB="0" distL="0" distR="0" wp14:anchorId="0DE9E697" wp14:editId="613FF776">
            <wp:extent cx="5940425" cy="3171825"/>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A284C9" w14:textId="77777777" w:rsidR="00A12D86" w:rsidRPr="00A12D86" w:rsidRDefault="00A12D86" w:rsidP="00A12D86">
      <w:pPr>
        <w:spacing w:after="0" w:line="240" w:lineRule="auto"/>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ab/>
        <w:t>Значительную часть (49% по итогам 2016 года) налоговых расходов областного бюджета по корпоративным налогам формирует предоставление федеральных льгот (пониженных налоговых ставок) по налогу на имущество организаций, размер которых является 12 по величине значением среди субъектов Российской Федерации.</w:t>
      </w:r>
    </w:p>
    <w:p w14:paraId="76CD140B" w14:textId="77777777" w:rsidR="00A12D86" w:rsidRPr="00A12D86" w:rsidRDefault="00A12D86" w:rsidP="00A12D86">
      <w:pPr>
        <w:spacing w:after="0" w:line="276" w:lineRule="auto"/>
        <w:jc w:val="both"/>
        <w:rPr>
          <w:rFonts w:ascii="Times New Roman" w:eastAsia="Calibri" w:hAnsi="Times New Roman" w:cs="Times New Roman"/>
          <w:sz w:val="28"/>
          <w:szCs w:val="28"/>
        </w:rPr>
      </w:pPr>
      <w:r w:rsidRPr="00A12D86">
        <w:rPr>
          <w:rFonts w:ascii="Times New Roman" w:eastAsia="Calibri" w:hAnsi="Times New Roman" w:cs="Times New Roman"/>
          <w:noProof/>
          <w:sz w:val="28"/>
          <w:szCs w:val="28"/>
          <w:lang w:eastAsia="ru-RU"/>
        </w:rPr>
        <w:drawing>
          <wp:inline distT="0" distB="0" distL="0" distR="0" wp14:anchorId="6E054414" wp14:editId="2F4DD516">
            <wp:extent cx="59436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9D063E" w14:textId="6AD292C6" w:rsidR="00A12D86" w:rsidRDefault="00A12D86" w:rsidP="005B03B9">
      <w:pPr>
        <w:spacing w:after="0" w:line="276" w:lineRule="auto"/>
        <w:ind w:firstLine="709"/>
        <w:jc w:val="both"/>
        <w:rPr>
          <w:rFonts w:ascii="Times New Roman" w:eastAsia="Calibri" w:hAnsi="Times New Roman" w:cs="Times New Roman"/>
          <w:sz w:val="28"/>
          <w:szCs w:val="28"/>
        </w:rPr>
      </w:pPr>
      <w:r w:rsidRPr="00A12D86">
        <w:rPr>
          <w:rFonts w:ascii="Times New Roman" w:eastAsia="Calibri" w:hAnsi="Times New Roman" w:cs="Times New Roman"/>
          <w:sz w:val="28"/>
          <w:szCs w:val="28"/>
        </w:rPr>
        <w:t>Региональные налоговые льготы (пониженные ставки) по корпоративным налогам составил</w:t>
      </w:r>
      <w:r w:rsidR="00A33434">
        <w:rPr>
          <w:rFonts w:ascii="Times New Roman" w:eastAsia="Calibri" w:hAnsi="Times New Roman" w:cs="Times New Roman"/>
          <w:sz w:val="28"/>
          <w:szCs w:val="28"/>
        </w:rPr>
        <w:t>и по итогам 2016 года 5 857 млн</w:t>
      </w:r>
      <w:r w:rsidRPr="00A12D86">
        <w:rPr>
          <w:rFonts w:ascii="Times New Roman" w:eastAsia="Calibri" w:hAnsi="Times New Roman" w:cs="Times New Roman"/>
          <w:sz w:val="28"/>
          <w:szCs w:val="28"/>
        </w:rPr>
        <w:t xml:space="preserve"> рублей (10,5% от поступления налога на прибыль и имущество организац</w:t>
      </w:r>
      <w:r w:rsidR="00A33434">
        <w:rPr>
          <w:rFonts w:ascii="Times New Roman" w:eastAsia="Calibri" w:hAnsi="Times New Roman" w:cs="Times New Roman"/>
          <w:sz w:val="28"/>
          <w:szCs w:val="28"/>
        </w:rPr>
        <w:t>ий в 2016 году), что на 610 млн</w:t>
      </w:r>
      <w:r w:rsidRPr="00A12D86">
        <w:rPr>
          <w:rFonts w:ascii="Times New Roman" w:eastAsia="Calibri" w:hAnsi="Times New Roman" w:cs="Times New Roman"/>
          <w:sz w:val="28"/>
          <w:szCs w:val="28"/>
        </w:rPr>
        <w:t xml:space="preserve"> рублей (12%) превышает аналогичный показатель 2015 года и является 9 по величине значением среди регионов страны (2 – в Сибирском федеральном округе).</w:t>
      </w:r>
    </w:p>
    <w:p w14:paraId="24FFC5AF" w14:textId="77777777" w:rsidR="003368A6" w:rsidRPr="00A12D86" w:rsidRDefault="003368A6" w:rsidP="005B03B9">
      <w:pPr>
        <w:spacing w:after="0" w:line="276" w:lineRule="auto"/>
        <w:ind w:firstLine="709"/>
        <w:jc w:val="both"/>
        <w:rPr>
          <w:rFonts w:ascii="Times New Roman" w:eastAsia="Calibri" w:hAnsi="Times New Roman" w:cs="Times New Roman"/>
          <w:sz w:val="28"/>
          <w:szCs w:val="28"/>
        </w:rPr>
      </w:pPr>
    </w:p>
    <w:p w14:paraId="64054998" w14:textId="77777777" w:rsidR="00A12D86" w:rsidRPr="00A12D86" w:rsidRDefault="00A12D86" w:rsidP="00A12D86">
      <w:pPr>
        <w:spacing w:after="0" w:line="240" w:lineRule="auto"/>
        <w:jc w:val="both"/>
        <w:rPr>
          <w:rFonts w:ascii="Times New Roman" w:eastAsia="Calibri" w:hAnsi="Times New Roman" w:cs="Times New Roman"/>
          <w:sz w:val="28"/>
          <w:szCs w:val="28"/>
        </w:rPr>
      </w:pPr>
      <w:r w:rsidRPr="00A12D86">
        <w:rPr>
          <w:rFonts w:ascii="Times New Roman" w:eastAsia="Calibri" w:hAnsi="Times New Roman" w:cs="Times New Roman"/>
          <w:noProof/>
          <w:sz w:val="28"/>
          <w:szCs w:val="28"/>
          <w:lang w:eastAsia="ru-RU"/>
        </w:rPr>
        <w:drawing>
          <wp:inline distT="0" distB="0" distL="0" distR="0" wp14:anchorId="4F5E6884" wp14:editId="1E1DB14A">
            <wp:extent cx="5934075" cy="38100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E53A97" w14:textId="56CD64CD" w:rsidR="00A12D86" w:rsidRDefault="00A12D86" w:rsidP="00A12D86">
      <w:pPr>
        <w:spacing w:after="0" w:line="240" w:lineRule="auto"/>
        <w:jc w:val="both"/>
        <w:rPr>
          <w:rFonts w:ascii="Times New Roman" w:eastAsia="Calibri" w:hAnsi="Times New Roman" w:cs="Times New Roman"/>
          <w:b/>
          <w:sz w:val="28"/>
          <w:szCs w:val="28"/>
        </w:rPr>
      </w:pPr>
      <w:r w:rsidRPr="00A12D86">
        <w:rPr>
          <w:rFonts w:ascii="Times New Roman" w:eastAsia="Calibri" w:hAnsi="Times New Roman" w:cs="Times New Roman"/>
          <w:b/>
          <w:sz w:val="28"/>
          <w:szCs w:val="28"/>
        </w:rPr>
        <w:tab/>
      </w:r>
    </w:p>
    <w:p w14:paraId="3F48854B" w14:textId="1022DA69" w:rsidR="00A26A8F" w:rsidRPr="00894B3B" w:rsidRDefault="009F67C1" w:rsidP="004D208D">
      <w:pPr>
        <w:pStyle w:val="2"/>
        <w:tabs>
          <w:tab w:val="left" w:pos="426"/>
        </w:tabs>
      </w:pPr>
      <w:bookmarkStart w:id="5" w:name="_Toc496702980"/>
      <w:r w:rsidRPr="004D208D">
        <w:rPr>
          <w:rFonts w:ascii="Times New Roman" w:eastAsia="Times New Roman" w:hAnsi="Times New Roman" w:cs="Times New Roman"/>
          <w:b/>
          <w:sz w:val="28"/>
          <w:lang w:eastAsia="ru-RU"/>
        </w:rPr>
        <w:t>2.</w:t>
      </w:r>
      <w:r w:rsidR="00894B3B" w:rsidRPr="004D208D">
        <w:rPr>
          <w:rFonts w:ascii="Times New Roman" w:eastAsia="Times New Roman" w:hAnsi="Times New Roman" w:cs="Times New Roman"/>
          <w:b/>
          <w:sz w:val="28"/>
          <w:lang w:eastAsia="ru-RU"/>
        </w:rPr>
        <w:t xml:space="preserve">  </w:t>
      </w:r>
      <w:r w:rsidRPr="004D208D">
        <w:rPr>
          <w:rFonts w:ascii="Times New Roman" w:eastAsia="Times New Roman" w:hAnsi="Times New Roman" w:cs="Times New Roman"/>
          <w:b/>
          <w:sz w:val="28"/>
          <w:lang w:eastAsia="ru-RU"/>
        </w:rPr>
        <w:t xml:space="preserve"> </w:t>
      </w:r>
      <w:r w:rsidR="00A26A8F" w:rsidRPr="004D208D">
        <w:rPr>
          <w:rFonts w:ascii="Times New Roman" w:eastAsia="Times New Roman" w:hAnsi="Times New Roman" w:cs="Times New Roman"/>
          <w:b/>
          <w:sz w:val="28"/>
          <w:lang w:eastAsia="ru-RU"/>
        </w:rPr>
        <w:t>Итоги реализации бюджетной</w:t>
      </w:r>
      <w:r w:rsidR="004A5263" w:rsidRPr="004D208D">
        <w:rPr>
          <w:rFonts w:ascii="Times New Roman" w:eastAsia="Times New Roman" w:hAnsi="Times New Roman" w:cs="Times New Roman"/>
          <w:b/>
          <w:sz w:val="28"/>
          <w:lang w:eastAsia="ru-RU"/>
        </w:rPr>
        <w:t xml:space="preserve"> </w:t>
      </w:r>
      <w:r w:rsidR="00A26A8F" w:rsidRPr="004D208D">
        <w:rPr>
          <w:rFonts w:ascii="Times New Roman" w:eastAsia="Times New Roman" w:hAnsi="Times New Roman" w:cs="Times New Roman"/>
          <w:b/>
          <w:sz w:val="28"/>
          <w:lang w:eastAsia="ru-RU"/>
        </w:rPr>
        <w:t>политики в 201</w:t>
      </w:r>
      <w:r w:rsidR="001C4F31" w:rsidRPr="004D208D">
        <w:rPr>
          <w:rFonts w:ascii="Times New Roman" w:eastAsia="Times New Roman" w:hAnsi="Times New Roman" w:cs="Times New Roman"/>
          <w:b/>
          <w:sz w:val="28"/>
          <w:lang w:eastAsia="ru-RU"/>
        </w:rPr>
        <w:t>6</w:t>
      </w:r>
      <w:r w:rsidR="00A26A8F" w:rsidRPr="004D208D">
        <w:rPr>
          <w:rFonts w:ascii="Times New Roman" w:eastAsia="Times New Roman" w:hAnsi="Times New Roman" w:cs="Times New Roman"/>
          <w:b/>
          <w:sz w:val="28"/>
          <w:lang w:eastAsia="ru-RU"/>
        </w:rPr>
        <w:t xml:space="preserve"> </w:t>
      </w:r>
      <w:r w:rsidR="002B2C33" w:rsidRPr="004D208D">
        <w:rPr>
          <w:rFonts w:ascii="Times New Roman" w:eastAsia="Times New Roman" w:hAnsi="Times New Roman" w:cs="Times New Roman"/>
          <w:b/>
          <w:sz w:val="28"/>
          <w:lang w:eastAsia="ru-RU"/>
        </w:rPr>
        <w:t>-201</w:t>
      </w:r>
      <w:r w:rsidR="001C4F31" w:rsidRPr="004D208D">
        <w:rPr>
          <w:rFonts w:ascii="Times New Roman" w:eastAsia="Times New Roman" w:hAnsi="Times New Roman" w:cs="Times New Roman"/>
          <w:b/>
          <w:sz w:val="28"/>
          <w:lang w:eastAsia="ru-RU"/>
        </w:rPr>
        <w:t>7</w:t>
      </w:r>
      <w:r w:rsidR="002B2C33" w:rsidRPr="004D208D">
        <w:rPr>
          <w:rFonts w:ascii="Times New Roman" w:eastAsia="Times New Roman" w:hAnsi="Times New Roman" w:cs="Times New Roman"/>
          <w:b/>
          <w:sz w:val="28"/>
          <w:lang w:eastAsia="ru-RU"/>
        </w:rPr>
        <w:t xml:space="preserve"> годах</w:t>
      </w:r>
      <w:bookmarkEnd w:id="5"/>
    </w:p>
    <w:p w14:paraId="06E4977B" w14:textId="6C8C2353" w:rsidR="00065D93" w:rsidRDefault="00B6170F"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Основные мероприятия</w:t>
      </w:r>
      <w:r w:rsidR="00A155B9">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w:t>
      </w:r>
      <w:r w:rsidR="00A155B9">
        <w:rPr>
          <w:rFonts w:ascii="Times New Roman" w:eastAsia="Times New Roman" w:hAnsi="Times New Roman" w:cs="Times New Roman"/>
          <w:sz w:val="28"/>
          <w:szCs w:val="28"/>
          <w:lang w:eastAsia="ru-RU"/>
        </w:rPr>
        <w:t xml:space="preserve">реализации </w:t>
      </w:r>
      <w:r>
        <w:rPr>
          <w:rFonts w:ascii="Times New Roman" w:eastAsia="Times New Roman" w:hAnsi="Times New Roman" w:cs="Times New Roman"/>
          <w:sz w:val="28"/>
          <w:szCs w:val="28"/>
          <w:lang w:eastAsia="ru-RU"/>
        </w:rPr>
        <w:t>бюджетной</w:t>
      </w:r>
      <w:r w:rsidR="00A155B9">
        <w:rPr>
          <w:rFonts w:ascii="Times New Roman" w:eastAsia="Times New Roman" w:hAnsi="Times New Roman" w:cs="Times New Roman"/>
          <w:sz w:val="28"/>
          <w:szCs w:val="28"/>
          <w:lang w:eastAsia="ru-RU"/>
        </w:rPr>
        <w:t xml:space="preserve"> политики Иркутской области в 2016 году</w:t>
      </w:r>
      <w:r w:rsidR="00A155B9" w:rsidRPr="00A155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были направлены на обеспечение </w:t>
      </w:r>
      <w:r w:rsidR="002C353A">
        <w:rPr>
          <w:rFonts w:ascii="Times New Roman" w:eastAsia="Times New Roman" w:hAnsi="Times New Roman" w:cs="Times New Roman"/>
          <w:sz w:val="28"/>
          <w:szCs w:val="28"/>
          <w:lang w:eastAsia="ru-RU"/>
        </w:rPr>
        <w:t xml:space="preserve">сбалансированности областного и местных бюджетов, </w:t>
      </w:r>
      <w:r>
        <w:rPr>
          <w:rFonts w:ascii="Times New Roman" w:eastAsia="Times New Roman" w:hAnsi="Times New Roman" w:cs="Times New Roman"/>
          <w:sz w:val="28"/>
          <w:szCs w:val="28"/>
          <w:lang w:eastAsia="ru-RU"/>
        </w:rPr>
        <w:t>исполнени</w:t>
      </w:r>
      <w:r w:rsidR="00E14B90">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принятых бюджетных обязательств Иркутской области, недопущение роста государственного </w:t>
      </w:r>
      <w:r w:rsidR="00A155B9">
        <w:rPr>
          <w:rFonts w:ascii="Times New Roman" w:eastAsia="Times New Roman" w:hAnsi="Times New Roman" w:cs="Times New Roman"/>
          <w:sz w:val="28"/>
          <w:szCs w:val="28"/>
          <w:lang w:eastAsia="ru-RU"/>
        </w:rPr>
        <w:t>долга</w:t>
      </w:r>
      <w:r>
        <w:rPr>
          <w:rFonts w:ascii="Times New Roman" w:eastAsia="Times New Roman" w:hAnsi="Times New Roman" w:cs="Times New Roman"/>
          <w:sz w:val="28"/>
          <w:szCs w:val="28"/>
          <w:lang w:eastAsia="ru-RU"/>
        </w:rPr>
        <w:t xml:space="preserve"> Иркутской области. </w:t>
      </w:r>
    </w:p>
    <w:p w14:paraId="57340F4D" w14:textId="79AECEF5" w:rsidR="004F53C3" w:rsidRDefault="004F53C3"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года консолидированный бюджет Иркутской области выполнен с положительным результатом – объем доходов, превысил объем расходов на 1,1 млрд рублей.</w:t>
      </w:r>
    </w:p>
    <w:p w14:paraId="71092645" w14:textId="448E4217" w:rsidR="009C08A6" w:rsidRPr="004F53C3" w:rsidRDefault="008C05EC" w:rsidP="009C08A6">
      <w:pPr>
        <w:widowControl w:val="0"/>
        <w:autoSpaceDE w:val="0"/>
        <w:autoSpaceDN w:val="0"/>
        <w:adjustRightInd w:val="0"/>
        <w:spacing w:after="0" w:line="240" w:lineRule="auto"/>
        <w:ind w:firstLine="709"/>
        <w:contextualSpacing/>
        <w:jc w:val="right"/>
        <w:rPr>
          <w:rFonts w:ascii="Times New Roman" w:eastAsia="Times New Roman" w:hAnsi="Times New Roman" w:cs="Times New Roman"/>
          <w:sz w:val="24"/>
          <w:szCs w:val="28"/>
          <w:lang w:eastAsia="ru-RU"/>
        </w:rPr>
      </w:pPr>
      <w:r w:rsidRPr="004F53C3">
        <w:rPr>
          <w:rFonts w:ascii="Times New Roman" w:eastAsia="Times New Roman" w:hAnsi="Times New Roman" w:cs="Times New Roman"/>
          <w:sz w:val="24"/>
          <w:szCs w:val="28"/>
          <w:lang w:eastAsia="ru-RU"/>
        </w:rPr>
        <w:t>(</w:t>
      </w:r>
      <w:r w:rsidR="009C08A6" w:rsidRPr="004F53C3">
        <w:rPr>
          <w:rFonts w:ascii="Times New Roman" w:eastAsia="Times New Roman" w:hAnsi="Times New Roman" w:cs="Times New Roman"/>
          <w:sz w:val="24"/>
          <w:szCs w:val="28"/>
          <w:lang w:eastAsia="ru-RU"/>
        </w:rPr>
        <w:t>млн рублей</w:t>
      </w:r>
      <w:r w:rsidRPr="004F53C3">
        <w:rPr>
          <w:rFonts w:ascii="Times New Roman" w:eastAsia="Times New Roman" w:hAnsi="Times New Roman" w:cs="Times New Roman"/>
          <w:sz w:val="24"/>
          <w:szCs w:val="28"/>
          <w:lang w:eastAsia="ru-RU"/>
        </w:rPr>
        <w:t>)</w:t>
      </w:r>
    </w:p>
    <w:tbl>
      <w:tblPr>
        <w:tblW w:w="8930" w:type="dxa"/>
        <w:tblInd w:w="704" w:type="dxa"/>
        <w:tblCellMar>
          <w:left w:w="0" w:type="dxa"/>
          <w:right w:w="0" w:type="dxa"/>
        </w:tblCellMar>
        <w:tblLook w:val="04A0" w:firstRow="1" w:lastRow="0" w:firstColumn="1" w:lastColumn="0" w:noHBand="0" w:noVBand="1"/>
      </w:tblPr>
      <w:tblGrid>
        <w:gridCol w:w="3779"/>
        <w:gridCol w:w="2028"/>
        <w:gridCol w:w="1393"/>
        <w:gridCol w:w="1730"/>
      </w:tblGrid>
      <w:tr w:rsidR="000E5EFB" w:rsidRPr="009C08A6" w14:paraId="493B3386" w14:textId="77777777" w:rsidTr="00735094">
        <w:trPr>
          <w:trHeight w:val="121"/>
        </w:trPr>
        <w:tc>
          <w:tcPr>
            <w:tcW w:w="37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6C397" w14:textId="77777777" w:rsidR="009C08A6" w:rsidRPr="00735094" w:rsidRDefault="009C08A6" w:rsidP="009C08A6">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lang w:eastAsia="ru-RU"/>
              </w:rPr>
            </w:pPr>
            <w:r w:rsidRPr="00735094">
              <w:rPr>
                <w:rFonts w:ascii="Times New Roman" w:eastAsia="Times New Roman" w:hAnsi="Times New Roman" w:cs="Times New Roman"/>
                <w:b/>
                <w:lang w:eastAsia="ru-RU"/>
              </w:rPr>
              <w:t>Показатель</w:t>
            </w:r>
          </w:p>
        </w:tc>
        <w:tc>
          <w:tcPr>
            <w:tcW w:w="2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A633A" w14:textId="77777777" w:rsidR="009C08A6" w:rsidRPr="00735094" w:rsidRDefault="009C08A6" w:rsidP="009C08A6">
            <w:pPr>
              <w:widowControl w:val="0"/>
              <w:autoSpaceDE w:val="0"/>
              <w:autoSpaceDN w:val="0"/>
              <w:adjustRightInd w:val="0"/>
              <w:spacing w:after="0" w:line="240" w:lineRule="auto"/>
              <w:ind w:firstLine="49"/>
              <w:contextualSpacing/>
              <w:jc w:val="center"/>
              <w:rPr>
                <w:rFonts w:ascii="Times New Roman" w:eastAsia="Times New Roman" w:hAnsi="Times New Roman" w:cs="Times New Roman"/>
                <w:b/>
                <w:lang w:eastAsia="ru-RU"/>
              </w:rPr>
            </w:pPr>
            <w:r w:rsidRPr="00735094">
              <w:rPr>
                <w:rFonts w:ascii="Times New Roman" w:eastAsia="Times New Roman" w:hAnsi="Times New Roman" w:cs="Times New Roman"/>
                <w:b/>
                <w:lang w:eastAsia="ru-RU"/>
              </w:rPr>
              <w:t>2016</w:t>
            </w:r>
            <w:r w:rsidRPr="00735094">
              <w:rPr>
                <w:rFonts w:ascii="Times New Roman" w:eastAsia="Times New Roman" w:hAnsi="Times New Roman" w:cs="Times New Roman"/>
                <w:b/>
                <w:lang w:eastAsia="ru-RU"/>
              </w:rPr>
              <w:br/>
              <w:t>(факт)</w:t>
            </w:r>
          </w:p>
        </w:tc>
        <w:tc>
          <w:tcPr>
            <w:tcW w:w="13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D8D13" w14:textId="77777777" w:rsidR="009C08A6" w:rsidRPr="00735094" w:rsidRDefault="009C08A6" w:rsidP="009C08A6">
            <w:pPr>
              <w:widowControl w:val="0"/>
              <w:autoSpaceDE w:val="0"/>
              <w:autoSpaceDN w:val="0"/>
              <w:adjustRightInd w:val="0"/>
              <w:spacing w:after="0" w:line="240" w:lineRule="auto"/>
              <w:contextualSpacing/>
              <w:jc w:val="center"/>
              <w:rPr>
                <w:rFonts w:ascii="Times New Roman" w:eastAsia="Times New Roman" w:hAnsi="Times New Roman" w:cs="Times New Roman"/>
                <w:b/>
                <w:lang w:eastAsia="ru-RU"/>
              </w:rPr>
            </w:pPr>
            <w:r w:rsidRPr="00735094">
              <w:rPr>
                <w:rFonts w:ascii="Times New Roman" w:eastAsia="Times New Roman" w:hAnsi="Times New Roman" w:cs="Times New Roman"/>
                <w:b/>
                <w:lang w:eastAsia="ru-RU"/>
              </w:rPr>
              <w:t>Откл. от 2015</w:t>
            </w:r>
          </w:p>
        </w:tc>
        <w:tc>
          <w:tcPr>
            <w:tcW w:w="17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9E60B" w14:textId="3CA4765F" w:rsidR="009C08A6" w:rsidRPr="00735094" w:rsidRDefault="009C08A6" w:rsidP="009C08A6">
            <w:pPr>
              <w:widowControl w:val="0"/>
              <w:autoSpaceDE w:val="0"/>
              <w:autoSpaceDN w:val="0"/>
              <w:adjustRightInd w:val="0"/>
              <w:spacing w:after="0" w:line="240" w:lineRule="auto"/>
              <w:ind w:firstLine="55"/>
              <w:contextualSpacing/>
              <w:jc w:val="center"/>
              <w:rPr>
                <w:rFonts w:ascii="Times New Roman" w:eastAsia="Times New Roman" w:hAnsi="Times New Roman" w:cs="Times New Roman"/>
                <w:b/>
                <w:lang w:eastAsia="ru-RU"/>
              </w:rPr>
            </w:pPr>
            <w:r w:rsidRPr="00735094">
              <w:rPr>
                <w:rFonts w:ascii="Times New Roman" w:eastAsia="Times New Roman" w:hAnsi="Times New Roman" w:cs="Times New Roman"/>
                <w:b/>
                <w:lang w:eastAsia="ru-RU"/>
              </w:rPr>
              <w:t>Темп прироста к 2015</w:t>
            </w:r>
          </w:p>
        </w:tc>
      </w:tr>
      <w:tr w:rsidR="009C08A6" w:rsidRPr="009C08A6" w14:paraId="1B7336A5" w14:textId="77777777" w:rsidTr="00735094">
        <w:trPr>
          <w:trHeight w:val="315"/>
        </w:trPr>
        <w:tc>
          <w:tcPr>
            <w:tcW w:w="893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47B82" w14:textId="23D2152A" w:rsidR="009C08A6" w:rsidRPr="00735094" w:rsidRDefault="009C08A6" w:rsidP="009C08A6">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bCs/>
                <w:lang w:eastAsia="ru-RU"/>
              </w:rPr>
            </w:pPr>
            <w:r w:rsidRPr="00735094">
              <w:rPr>
                <w:rFonts w:ascii="Times New Roman" w:eastAsia="Times New Roman" w:hAnsi="Times New Roman" w:cs="Times New Roman"/>
                <w:b/>
                <w:bCs/>
                <w:lang w:eastAsia="ru-RU"/>
              </w:rPr>
              <w:t>Консолидированный бюджет</w:t>
            </w:r>
          </w:p>
        </w:tc>
      </w:tr>
      <w:tr w:rsidR="00735094" w:rsidRPr="009C08A6" w14:paraId="45482D46" w14:textId="77777777" w:rsidTr="00735094">
        <w:trPr>
          <w:trHeight w:val="65"/>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2E041AB4" w14:textId="77777777" w:rsidR="009C08A6" w:rsidRPr="00735094" w:rsidRDefault="009C08A6" w:rsidP="009C08A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Доходы всего</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6E813F28" w14:textId="77777777" w:rsidR="009C08A6" w:rsidRPr="00735094" w:rsidRDefault="009C08A6" w:rsidP="009C08A6">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153 145,0</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6F60E494" w14:textId="77777777" w:rsidR="009C08A6" w:rsidRPr="00735094" w:rsidRDefault="009C08A6"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24 056,2</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732DF620" w14:textId="34101522" w:rsidR="009C08A6" w:rsidRPr="00735094" w:rsidRDefault="004F53C3" w:rsidP="009C08A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 </w:t>
            </w:r>
            <w:r w:rsidR="009C08A6" w:rsidRPr="00735094">
              <w:rPr>
                <w:rFonts w:ascii="Times New Roman" w:eastAsia="Times New Roman" w:hAnsi="Times New Roman" w:cs="Times New Roman"/>
                <w:sz w:val="24"/>
                <w:szCs w:val="24"/>
                <w:lang w:eastAsia="ru-RU"/>
              </w:rPr>
              <w:t>18,6%</w:t>
            </w:r>
          </w:p>
        </w:tc>
      </w:tr>
      <w:tr w:rsidR="000E5EFB" w:rsidRPr="009C08A6" w14:paraId="4AFB3B56" w14:textId="77777777" w:rsidTr="00735094">
        <w:trPr>
          <w:trHeight w:val="315"/>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7CFDB5CF" w14:textId="77777777" w:rsidR="009C08A6" w:rsidRPr="00735094" w:rsidRDefault="009C08A6" w:rsidP="009C08A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Налоговые и неналоговые</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2C34CF2B" w14:textId="77777777" w:rsidR="009C08A6" w:rsidRPr="00735094" w:rsidRDefault="009C08A6" w:rsidP="009C08A6">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131 373,1</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00FC7FF6" w14:textId="77777777" w:rsidR="009C08A6" w:rsidRPr="00735094" w:rsidRDefault="009C08A6"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24 608,2</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71C5C3F3" w14:textId="49248821" w:rsidR="009C08A6" w:rsidRPr="00735094" w:rsidRDefault="004F53C3" w:rsidP="009C08A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 </w:t>
            </w:r>
            <w:r w:rsidR="009C08A6" w:rsidRPr="00735094">
              <w:rPr>
                <w:rFonts w:ascii="Times New Roman" w:eastAsia="Times New Roman" w:hAnsi="Times New Roman" w:cs="Times New Roman"/>
                <w:sz w:val="24"/>
                <w:szCs w:val="24"/>
                <w:lang w:eastAsia="ru-RU"/>
              </w:rPr>
              <w:t>23,0%</w:t>
            </w:r>
          </w:p>
        </w:tc>
      </w:tr>
      <w:tr w:rsidR="00735094" w:rsidRPr="009C08A6" w14:paraId="5B48DFBE" w14:textId="77777777" w:rsidTr="00735094">
        <w:trPr>
          <w:trHeight w:val="65"/>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23203393" w14:textId="77777777" w:rsidR="009C08A6" w:rsidRPr="00735094" w:rsidRDefault="009C08A6" w:rsidP="009C08A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Безвозмездные поступления</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2567665F" w14:textId="77777777" w:rsidR="009C08A6" w:rsidRPr="00735094" w:rsidRDefault="009C08A6" w:rsidP="009C08A6">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21 772,0</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0ACF076F" w14:textId="77777777" w:rsidR="009C08A6" w:rsidRPr="00735094" w:rsidRDefault="009C08A6"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-552,1</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435CD449" w14:textId="6BE351C1" w:rsidR="009C08A6" w:rsidRPr="00735094" w:rsidRDefault="004F53C3" w:rsidP="009C08A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    </w:t>
            </w:r>
            <w:r w:rsidR="009C08A6" w:rsidRPr="00735094">
              <w:rPr>
                <w:rFonts w:ascii="Times New Roman" w:eastAsia="Times New Roman" w:hAnsi="Times New Roman" w:cs="Times New Roman"/>
                <w:sz w:val="24"/>
                <w:szCs w:val="24"/>
                <w:lang w:eastAsia="ru-RU"/>
              </w:rPr>
              <w:t>-2,5%</w:t>
            </w:r>
          </w:p>
        </w:tc>
      </w:tr>
      <w:tr w:rsidR="00735094" w:rsidRPr="009C08A6" w14:paraId="12833279" w14:textId="77777777" w:rsidTr="00735094">
        <w:trPr>
          <w:trHeight w:val="65"/>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15BC5318" w14:textId="77777777" w:rsidR="009C08A6" w:rsidRPr="00735094" w:rsidRDefault="009C08A6" w:rsidP="009C08A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Расходы </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74CC75BD" w14:textId="77777777" w:rsidR="009C08A6" w:rsidRPr="00735094" w:rsidRDefault="009C08A6" w:rsidP="009C08A6">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152 046,7</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62CDD270" w14:textId="77777777" w:rsidR="009C08A6" w:rsidRPr="00735094" w:rsidRDefault="009C08A6"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13 023,4</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0D0EF96B" w14:textId="172F0E19" w:rsidR="009C08A6" w:rsidRPr="00735094" w:rsidRDefault="004F53C3" w:rsidP="009C08A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 + </w:t>
            </w:r>
            <w:r w:rsidR="009C08A6" w:rsidRPr="00735094">
              <w:rPr>
                <w:rFonts w:ascii="Times New Roman" w:eastAsia="Times New Roman" w:hAnsi="Times New Roman" w:cs="Times New Roman"/>
                <w:sz w:val="24"/>
                <w:szCs w:val="24"/>
                <w:lang w:eastAsia="ru-RU"/>
              </w:rPr>
              <w:t xml:space="preserve"> 9,4%</w:t>
            </w:r>
          </w:p>
        </w:tc>
      </w:tr>
      <w:tr w:rsidR="000E5EFB" w:rsidRPr="009C08A6" w14:paraId="3A89EBFF" w14:textId="77777777" w:rsidTr="00735094">
        <w:trPr>
          <w:trHeight w:val="315"/>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4E341310" w14:textId="79C4B6C9" w:rsidR="009C08A6" w:rsidRPr="00735094" w:rsidRDefault="004F53C3" w:rsidP="004F53C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Профицит</w:t>
            </w:r>
            <w:r w:rsidR="009C08A6" w:rsidRPr="00735094">
              <w:rPr>
                <w:rFonts w:ascii="Times New Roman" w:eastAsia="Times New Roman" w:hAnsi="Times New Roman" w:cs="Times New Roman"/>
                <w:sz w:val="24"/>
                <w:szCs w:val="24"/>
                <w:lang w:eastAsia="ru-RU"/>
              </w:rPr>
              <w:t xml:space="preserve"> </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3ECC351D" w14:textId="77777777" w:rsidR="009C08A6" w:rsidRPr="00735094" w:rsidRDefault="009C08A6" w:rsidP="009C08A6">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1 098,4</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3B1E6D61" w14:textId="2CEE465F" w:rsidR="009C08A6" w:rsidRPr="00735094" w:rsidRDefault="004F53C3"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х</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195705E5" w14:textId="5F8EDF55" w:rsidR="009C08A6" w:rsidRPr="00735094" w:rsidRDefault="009C08A6" w:rsidP="004F53C3">
            <w:pPr>
              <w:widowControl w:val="0"/>
              <w:autoSpaceDE w:val="0"/>
              <w:autoSpaceDN w:val="0"/>
              <w:adjustRightInd w:val="0"/>
              <w:spacing w:after="0" w:line="240" w:lineRule="auto"/>
              <w:ind w:firstLine="709"/>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w:t>
            </w:r>
            <w:r w:rsidR="004F53C3" w:rsidRPr="00735094">
              <w:rPr>
                <w:rFonts w:ascii="Times New Roman" w:eastAsia="Times New Roman" w:hAnsi="Times New Roman" w:cs="Times New Roman"/>
                <w:sz w:val="24"/>
                <w:szCs w:val="24"/>
                <w:lang w:eastAsia="ru-RU"/>
              </w:rPr>
              <w:t>х</w:t>
            </w:r>
          </w:p>
        </w:tc>
      </w:tr>
      <w:tr w:rsidR="009C08A6" w:rsidRPr="009C08A6" w14:paraId="2E58D28E" w14:textId="77777777" w:rsidTr="00735094">
        <w:trPr>
          <w:trHeight w:val="55"/>
        </w:trPr>
        <w:tc>
          <w:tcPr>
            <w:tcW w:w="893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F6C41" w14:textId="77777777" w:rsidR="009C08A6" w:rsidRPr="00735094" w:rsidRDefault="009C08A6" w:rsidP="009C08A6">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r w:rsidRPr="00735094">
              <w:rPr>
                <w:rFonts w:ascii="Times New Roman" w:eastAsia="Times New Roman" w:hAnsi="Times New Roman" w:cs="Times New Roman"/>
                <w:b/>
                <w:bCs/>
                <w:sz w:val="24"/>
                <w:szCs w:val="24"/>
                <w:lang w:eastAsia="ru-RU"/>
              </w:rPr>
              <w:t>Областной бюджет</w:t>
            </w:r>
          </w:p>
        </w:tc>
      </w:tr>
      <w:tr w:rsidR="00735094" w:rsidRPr="009C08A6" w14:paraId="48EDC485" w14:textId="77777777" w:rsidTr="00735094">
        <w:trPr>
          <w:trHeight w:val="65"/>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20925C5E" w14:textId="77777777" w:rsidR="009C08A6" w:rsidRPr="00735094" w:rsidRDefault="009C08A6" w:rsidP="009C08A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Доходы всего</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29EE4044" w14:textId="77777777" w:rsidR="009C08A6" w:rsidRPr="00735094" w:rsidRDefault="009C08A6" w:rsidP="009C08A6">
            <w:pPr>
              <w:widowControl w:val="0"/>
              <w:autoSpaceDE w:val="0"/>
              <w:autoSpaceDN w:val="0"/>
              <w:adjustRightInd w:val="0"/>
              <w:spacing w:after="0" w:line="240" w:lineRule="auto"/>
              <w:ind w:right="-2"/>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125 552,7</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34243A6F" w14:textId="77777777" w:rsidR="009C08A6" w:rsidRPr="00735094" w:rsidRDefault="009C08A6"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21 112,6</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6CE283F8" w14:textId="6A51FE29" w:rsidR="009C08A6" w:rsidRPr="00735094" w:rsidRDefault="004F53C3" w:rsidP="009C08A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 </w:t>
            </w:r>
            <w:r w:rsidR="009C08A6" w:rsidRPr="00735094">
              <w:rPr>
                <w:rFonts w:ascii="Times New Roman" w:eastAsia="Times New Roman" w:hAnsi="Times New Roman" w:cs="Times New Roman"/>
                <w:sz w:val="24"/>
                <w:szCs w:val="24"/>
                <w:lang w:eastAsia="ru-RU"/>
              </w:rPr>
              <w:t>20,2%</w:t>
            </w:r>
          </w:p>
        </w:tc>
      </w:tr>
      <w:tr w:rsidR="000E5EFB" w:rsidRPr="009C08A6" w14:paraId="5F82A414" w14:textId="77777777" w:rsidTr="00735094">
        <w:trPr>
          <w:trHeight w:val="315"/>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6498ECDE" w14:textId="77777777" w:rsidR="009C08A6" w:rsidRPr="00735094" w:rsidRDefault="009C08A6" w:rsidP="009C08A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Налоговые и неналоговые</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59C3F696" w14:textId="77777777" w:rsidR="009C08A6" w:rsidRPr="00735094" w:rsidRDefault="009C08A6" w:rsidP="009C08A6">
            <w:pPr>
              <w:widowControl w:val="0"/>
              <w:autoSpaceDE w:val="0"/>
              <w:autoSpaceDN w:val="0"/>
              <w:adjustRightInd w:val="0"/>
              <w:spacing w:after="0" w:line="240" w:lineRule="auto"/>
              <w:ind w:right="-2"/>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106 113,6</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4DD7AE96" w14:textId="77777777" w:rsidR="009C08A6" w:rsidRPr="00735094" w:rsidRDefault="009C08A6"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22 686,4</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66517F04" w14:textId="49E85C1C" w:rsidR="009C08A6" w:rsidRPr="00735094" w:rsidRDefault="004F53C3" w:rsidP="009C08A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 </w:t>
            </w:r>
            <w:r w:rsidR="009C08A6" w:rsidRPr="00735094">
              <w:rPr>
                <w:rFonts w:ascii="Times New Roman" w:eastAsia="Times New Roman" w:hAnsi="Times New Roman" w:cs="Times New Roman"/>
                <w:sz w:val="24"/>
                <w:szCs w:val="24"/>
                <w:lang w:eastAsia="ru-RU"/>
              </w:rPr>
              <w:t>27,2%</w:t>
            </w:r>
          </w:p>
        </w:tc>
      </w:tr>
      <w:tr w:rsidR="000E5EFB" w:rsidRPr="009C08A6" w14:paraId="6B1A434C" w14:textId="77777777" w:rsidTr="00735094">
        <w:trPr>
          <w:trHeight w:val="300"/>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31DD7520" w14:textId="77777777" w:rsidR="009C08A6" w:rsidRPr="00735094" w:rsidRDefault="009C08A6" w:rsidP="009C08A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Безвозмездные поступления</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17E308A5" w14:textId="77777777" w:rsidR="009C08A6" w:rsidRPr="00735094" w:rsidRDefault="009C08A6" w:rsidP="009C08A6">
            <w:pPr>
              <w:widowControl w:val="0"/>
              <w:autoSpaceDE w:val="0"/>
              <w:autoSpaceDN w:val="0"/>
              <w:adjustRightInd w:val="0"/>
              <w:spacing w:after="0" w:line="240" w:lineRule="auto"/>
              <w:ind w:right="-2"/>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19 439,1</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7BCF685F" w14:textId="77777777" w:rsidR="009C08A6" w:rsidRPr="00735094" w:rsidRDefault="009C08A6"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-1 573,8</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5EE3FAD2" w14:textId="3F593E0E" w:rsidR="009C08A6" w:rsidRPr="00735094" w:rsidRDefault="004F53C3" w:rsidP="004F53C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  -  </w:t>
            </w:r>
            <w:r w:rsidR="009C08A6" w:rsidRPr="00735094">
              <w:rPr>
                <w:rFonts w:ascii="Times New Roman" w:eastAsia="Times New Roman" w:hAnsi="Times New Roman" w:cs="Times New Roman"/>
                <w:sz w:val="24"/>
                <w:szCs w:val="24"/>
                <w:lang w:eastAsia="ru-RU"/>
              </w:rPr>
              <w:t>7,5%</w:t>
            </w:r>
          </w:p>
        </w:tc>
      </w:tr>
      <w:tr w:rsidR="00735094" w:rsidRPr="009C08A6" w14:paraId="534AFD0A" w14:textId="77777777" w:rsidTr="00735094">
        <w:trPr>
          <w:trHeight w:val="315"/>
        </w:trPr>
        <w:tc>
          <w:tcPr>
            <w:tcW w:w="3779"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6994A1DC" w14:textId="77777777" w:rsidR="009C08A6" w:rsidRPr="00735094" w:rsidRDefault="009C08A6" w:rsidP="009C08A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Расходы </w:t>
            </w:r>
          </w:p>
        </w:tc>
        <w:tc>
          <w:tcPr>
            <w:tcW w:w="2028"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06125A74" w14:textId="77777777" w:rsidR="009C08A6" w:rsidRPr="00735094" w:rsidRDefault="009C08A6" w:rsidP="009C08A6">
            <w:pPr>
              <w:widowControl w:val="0"/>
              <w:autoSpaceDE w:val="0"/>
              <w:autoSpaceDN w:val="0"/>
              <w:adjustRightInd w:val="0"/>
              <w:spacing w:after="0" w:line="240" w:lineRule="auto"/>
              <w:ind w:right="-2"/>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123 473,4</w:t>
            </w:r>
          </w:p>
        </w:tc>
        <w:tc>
          <w:tcPr>
            <w:tcW w:w="1393"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0924CC57" w14:textId="77777777" w:rsidR="009C08A6" w:rsidRPr="00735094" w:rsidRDefault="009C08A6"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10 185,8</w:t>
            </w:r>
          </w:p>
        </w:tc>
        <w:tc>
          <w:tcPr>
            <w:tcW w:w="1730" w:type="dxa"/>
            <w:tcBorders>
              <w:top w:val="nil"/>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63BFE1EC" w14:textId="6373E4D6" w:rsidR="009C08A6" w:rsidRPr="00735094" w:rsidRDefault="009C08A6" w:rsidP="009C08A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  </w:t>
            </w:r>
            <w:r w:rsidR="004F53C3" w:rsidRPr="00735094">
              <w:rPr>
                <w:rFonts w:ascii="Times New Roman" w:eastAsia="Times New Roman" w:hAnsi="Times New Roman" w:cs="Times New Roman"/>
                <w:sz w:val="24"/>
                <w:szCs w:val="24"/>
                <w:lang w:eastAsia="ru-RU"/>
              </w:rPr>
              <w:t xml:space="preserve">+ </w:t>
            </w:r>
            <w:r w:rsidRPr="00735094">
              <w:rPr>
                <w:rFonts w:ascii="Times New Roman" w:eastAsia="Times New Roman" w:hAnsi="Times New Roman" w:cs="Times New Roman"/>
                <w:sz w:val="24"/>
                <w:szCs w:val="24"/>
                <w:lang w:eastAsia="ru-RU"/>
              </w:rPr>
              <w:t>9,0%</w:t>
            </w:r>
          </w:p>
        </w:tc>
      </w:tr>
      <w:tr w:rsidR="008C3B31" w:rsidRPr="009C08A6" w14:paraId="65F6B174" w14:textId="77777777" w:rsidTr="00735094">
        <w:trPr>
          <w:trHeight w:val="315"/>
        </w:trPr>
        <w:tc>
          <w:tcPr>
            <w:tcW w:w="3779" w:type="dxa"/>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14:paraId="7EDA4E75" w14:textId="4D437AF7" w:rsidR="009C08A6" w:rsidRPr="00735094" w:rsidRDefault="004F53C3" w:rsidP="004F53C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П</w:t>
            </w:r>
            <w:r w:rsidR="009C08A6" w:rsidRPr="00735094">
              <w:rPr>
                <w:rFonts w:ascii="Times New Roman" w:eastAsia="Times New Roman" w:hAnsi="Times New Roman" w:cs="Times New Roman"/>
                <w:sz w:val="24"/>
                <w:szCs w:val="24"/>
                <w:lang w:eastAsia="ru-RU"/>
              </w:rPr>
              <w:t xml:space="preserve">рофицит </w:t>
            </w:r>
          </w:p>
        </w:tc>
        <w:tc>
          <w:tcPr>
            <w:tcW w:w="2028"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1800D8F1" w14:textId="77777777" w:rsidR="009C08A6" w:rsidRPr="00735094" w:rsidRDefault="009C08A6" w:rsidP="009C08A6">
            <w:pPr>
              <w:widowControl w:val="0"/>
              <w:autoSpaceDE w:val="0"/>
              <w:autoSpaceDN w:val="0"/>
              <w:adjustRightInd w:val="0"/>
              <w:spacing w:after="0" w:line="240" w:lineRule="auto"/>
              <w:ind w:right="-2"/>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2 079,2</w:t>
            </w:r>
          </w:p>
        </w:tc>
        <w:tc>
          <w:tcPr>
            <w:tcW w:w="1393"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738F4188" w14:textId="2544F023" w:rsidR="009C08A6" w:rsidRPr="00735094" w:rsidRDefault="004F53C3"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х</w:t>
            </w:r>
          </w:p>
        </w:tc>
        <w:tc>
          <w:tcPr>
            <w:tcW w:w="1730"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hideMark/>
          </w:tcPr>
          <w:p w14:paraId="59D1F025" w14:textId="3DB6DAD6" w:rsidR="009C08A6" w:rsidRPr="00735094" w:rsidRDefault="009C08A6" w:rsidP="004F53C3">
            <w:pPr>
              <w:widowControl w:val="0"/>
              <w:autoSpaceDE w:val="0"/>
              <w:autoSpaceDN w:val="0"/>
              <w:adjustRightInd w:val="0"/>
              <w:spacing w:after="0" w:line="240" w:lineRule="auto"/>
              <w:ind w:firstLine="709"/>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w:t>
            </w:r>
            <w:r w:rsidR="004F53C3" w:rsidRPr="00735094">
              <w:rPr>
                <w:rFonts w:ascii="Times New Roman" w:eastAsia="Times New Roman" w:hAnsi="Times New Roman" w:cs="Times New Roman"/>
                <w:sz w:val="24"/>
                <w:szCs w:val="24"/>
                <w:lang w:eastAsia="ru-RU"/>
              </w:rPr>
              <w:t>х</w:t>
            </w:r>
          </w:p>
        </w:tc>
      </w:tr>
      <w:tr w:rsidR="008C3B31" w:rsidRPr="009C08A6" w14:paraId="0950E54A" w14:textId="77777777" w:rsidTr="00735094">
        <w:trPr>
          <w:trHeight w:val="315"/>
        </w:trPr>
        <w:tc>
          <w:tcPr>
            <w:tcW w:w="3779" w:type="dxa"/>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tcPr>
          <w:p w14:paraId="5E41381E" w14:textId="73FFEE11" w:rsidR="008C3B31" w:rsidRPr="00735094" w:rsidRDefault="008C3B31" w:rsidP="004F53C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Государственный долг </w:t>
            </w:r>
          </w:p>
        </w:tc>
        <w:tc>
          <w:tcPr>
            <w:tcW w:w="2028"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tcPr>
          <w:p w14:paraId="0712C798" w14:textId="3F9B6A02" w:rsidR="008C3B31" w:rsidRPr="00735094" w:rsidRDefault="008C3B31" w:rsidP="009C08A6">
            <w:pPr>
              <w:widowControl w:val="0"/>
              <w:autoSpaceDE w:val="0"/>
              <w:autoSpaceDN w:val="0"/>
              <w:adjustRightInd w:val="0"/>
              <w:spacing w:after="0" w:line="240" w:lineRule="auto"/>
              <w:ind w:right="-2"/>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18 785,5</w:t>
            </w:r>
          </w:p>
        </w:tc>
        <w:tc>
          <w:tcPr>
            <w:tcW w:w="1393"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tcPr>
          <w:p w14:paraId="767FCCE2" w14:textId="6FDB0604" w:rsidR="008C3B31" w:rsidRPr="00735094" w:rsidRDefault="008C3B31"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- 2 331,2</w:t>
            </w:r>
          </w:p>
        </w:tc>
        <w:tc>
          <w:tcPr>
            <w:tcW w:w="1730"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tcPr>
          <w:p w14:paraId="1FE402EC" w14:textId="5E404403" w:rsidR="008C3B31" w:rsidRPr="00735094" w:rsidRDefault="008C3B31" w:rsidP="004F53C3">
            <w:pPr>
              <w:widowControl w:val="0"/>
              <w:autoSpaceDE w:val="0"/>
              <w:autoSpaceDN w:val="0"/>
              <w:adjustRightInd w:val="0"/>
              <w:spacing w:after="0" w:line="240" w:lineRule="auto"/>
              <w:ind w:firstLine="709"/>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- 11,0%</w:t>
            </w:r>
          </w:p>
        </w:tc>
      </w:tr>
      <w:tr w:rsidR="008C3B31" w:rsidRPr="009C08A6" w14:paraId="354618C3" w14:textId="77777777" w:rsidTr="00735094">
        <w:trPr>
          <w:trHeight w:val="315"/>
        </w:trPr>
        <w:tc>
          <w:tcPr>
            <w:tcW w:w="3779" w:type="dxa"/>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tcPr>
          <w:p w14:paraId="1612A9BE" w14:textId="6EF6241D" w:rsidR="008C3B31" w:rsidRPr="00735094" w:rsidRDefault="008C3B31" w:rsidP="004F53C3">
            <w:pPr>
              <w:widowControl w:val="0"/>
              <w:autoSpaceDE w:val="0"/>
              <w:autoSpaceDN w:val="0"/>
              <w:adjustRightInd w:val="0"/>
              <w:spacing w:after="0" w:line="240" w:lineRule="auto"/>
              <w:contextualSpacing/>
              <w:jc w:val="both"/>
              <w:rPr>
                <w:rFonts w:ascii="Times New Roman" w:eastAsia="Times New Roman" w:hAnsi="Times New Roman" w:cs="Times New Roman"/>
                <w:lang w:eastAsia="ru-RU"/>
              </w:rPr>
            </w:pPr>
            <w:r w:rsidRPr="00735094">
              <w:rPr>
                <w:rFonts w:ascii="Times New Roman" w:eastAsia="Times New Roman" w:hAnsi="Times New Roman" w:cs="Times New Roman"/>
                <w:lang w:eastAsia="ru-RU"/>
              </w:rPr>
              <w:t>Уровень государственного долга</w:t>
            </w:r>
          </w:p>
        </w:tc>
        <w:tc>
          <w:tcPr>
            <w:tcW w:w="2028"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tcPr>
          <w:p w14:paraId="65068DAD" w14:textId="7CB92A2D" w:rsidR="008C3B31" w:rsidRPr="00735094" w:rsidRDefault="008C3B31" w:rsidP="009C08A6">
            <w:pPr>
              <w:widowControl w:val="0"/>
              <w:autoSpaceDE w:val="0"/>
              <w:autoSpaceDN w:val="0"/>
              <w:adjustRightInd w:val="0"/>
              <w:spacing w:after="0" w:line="240" w:lineRule="auto"/>
              <w:ind w:right="-2"/>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17,7%</w:t>
            </w:r>
          </w:p>
        </w:tc>
        <w:tc>
          <w:tcPr>
            <w:tcW w:w="1393"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tcPr>
          <w:p w14:paraId="477613C4" w14:textId="6E5E8781" w:rsidR="008C3B31" w:rsidRPr="00735094" w:rsidRDefault="008C3B31" w:rsidP="009C08A6">
            <w:pPr>
              <w:widowControl w:val="0"/>
              <w:autoSpaceDE w:val="0"/>
              <w:autoSpaceDN w:val="0"/>
              <w:adjustRightInd w:val="0"/>
              <w:spacing w:after="0" w:line="240" w:lineRule="auto"/>
              <w:ind w:firstLine="256"/>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 xml:space="preserve">-7,6% </w:t>
            </w:r>
          </w:p>
        </w:tc>
        <w:tc>
          <w:tcPr>
            <w:tcW w:w="1730" w:type="dxa"/>
            <w:tcBorders>
              <w:top w:val="single" w:sz="4" w:space="0" w:color="auto"/>
              <w:left w:val="nil"/>
              <w:bottom w:val="single" w:sz="4" w:space="0" w:color="auto"/>
              <w:right w:val="single" w:sz="4" w:space="0" w:color="auto"/>
            </w:tcBorders>
            <w:shd w:val="clear" w:color="auto" w:fill="auto"/>
            <w:tcMar>
              <w:top w:w="15" w:type="dxa"/>
              <w:left w:w="57" w:type="dxa"/>
              <w:bottom w:w="0" w:type="dxa"/>
              <w:right w:w="57" w:type="dxa"/>
            </w:tcMar>
            <w:vAlign w:val="center"/>
          </w:tcPr>
          <w:p w14:paraId="17E131F4" w14:textId="22A7A46C" w:rsidR="008C3B31" w:rsidRPr="00735094" w:rsidRDefault="008C3B31" w:rsidP="004F53C3">
            <w:pPr>
              <w:widowControl w:val="0"/>
              <w:autoSpaceDE w:val="0"/>
              <w:autoSpaceDN w:val="0"/>
              <w:adjustRightInd w:val="0"/>
              <w:spacing w:after="0" w:line="240" w:lineRule="auto"/>
              <w:ind w:firstLine="709"/>
              <w:contextualSpacing/>
              <w:jc w:val="right"/>
              <w:rPr>
                <w:rFonts w:ascii="Times New Roman" w:eastAsia="Times New Roman" w:hAnsi="Times New Roman" w:cs="Times New Roman"/>
                <w:sz w:val="24"/>
                <w:szCs w:val="24"/>
                <w:lang w:eastAsia="ru-RU"/>
              </w:rPr>
            </w:pPr>
            <w:r w:rsidRPr="00735094">
              <w:rPr>
                <w:rFonts w:ascii="Times New Roman" w:eastAsia="Times New Roman" w:hAnsi="Times New Roman" w:cs="Times New Roman"/>
                <w:sz w:val="24"/>
                <w:szCs w:val="24"/>
                <w:lang w:eastAsia="ru-RU"/>
              </w:rPr>
              <w:t>х</w:t>
            </w:r>
          </w:p>
        </w:tc>
      </w:tr>
    </w:tbl>
    <w:p w14:paraId="7EA16425" w14:textId="77777777" w:rsidR="004F53C3" w:rsidRDefault="004F53C3"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74DF32F9" w14:textId="513B68CD" w:rsidR="00065D93" w:rsidRDefault="00065D93"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65D93">
        <w:rPr>
          <w:rFonts w:ascii="Times New Roman" w:eastAsia="Times New Roman" w:hAnsi="Times New Roman" w:cs="Times New Roman"/>
          <w:sz w:val="28"/>
          <w:szCs w:val="28"/>
          <w:lang w:eastAsia="ru-RU"/>
        </w:rPr>
        <w:t xml:space="preserve">Достигнутые результаты </w:t>
      </w:r>
      <w:r w:rsidR="004F53C3">
        <w:rPr>
          <w:rFonts w:ascii="Times New Roman" w:eastAsia="Times New Roman" w:hAnsi="Times New Roman" w:cs="Times New Roman"/>
          <w:sz w:val="28"/>
          <w:szCs w:val="28"/>
          <w:lang w:eastAsia="ru-RU"/>
        </w:rPr>
        <w:t>стали</w:t>
      </w:r>
      <w:r w:rsidRPr="00065D93">
        <w:rPr>
          <w:rFonts w:ascii="Times New Roman" w:eastAsia="Times New Roman" w:hAnsi="Times New Roman" w:cs="Times New Roman"/>
          <w:sz w:val="28"/>
          <w:szCs w:val="28"/>
          <w:lang w:eastAsia="ru-RU"/>
        </w:rPr>
        <w:t xml:space="preserve"> итогом планомерной работы Правительства </w:t>
      </w:r>
      <w:r w:rsidR="008B0689">
        <w:rPr>
          <w:rFonts w:ascii="Times New Roman" w:eastAsia="Times New Roman" w:hAnsi="Times New Roman" w:cs="Times New Roman"/>
          <w:sz w:val="28"/>
          <w:szCs w:val="28"/>
          <w:lang w:eastAsia="ru-RU"/>
        </w:rPr>
        <w:t>Иркутской области</w:t>
      </w:r>
      <w:r w:rsidRPr="00065D93">
        <w:rPr>
          <w:rFonts w:ascii="Times New Roman" w:eastAsia="Times New Roman" w:hAnsi="Times New Roman" w:cs="Times New Roman"/>
          <w:sz w:val="28"/>
          <w:szCs w:val="28"/>
          <w:lang w:eastAsia="ru-RU"/>
        </w:rPr>
        <w:t xml:space="preserve"> по наращиванию собственного доходного потенциала, включающей реализацию антикризисного плана по обеспечению устойчивого развития экономики и социальной стабильности, а также взаимодействи</w:t>
      </w:r>
      <w:r w:rsidR="00B6170F">
        <w:rPr>
          <w:rFonts w:ascii="Times New Roman" w:eastAsia="Times New Roman" w:hAnsi="Times New Roman" w:cs="Times New Roman"/>
          <w:sz w:val="28"/>
          <w:szCs w:val="28"/>
          <w:lang w:eastAsia="ru-RU"/>
        </w:rPr>
        <w:t>я</w:t>
      </w:r>
      <w:r w:rsidRPr="00065D93">
        <w:rPr>
          <w:rFonts w:ascii="Times New Roman" w:eastAsia="Times New Roman" w:hAnsi="Times New Roman" w:cs="Times New Roman"/>
          <w:sz w:val="28"/>
          <w:szCs w:val="28"/>
          <w:lang w:eastAsia="ru-RU"/>
        </w:rPr>
        <w:t xml:space="preserve"> с крупнейшими налогоплательщиками региона. Обеспеченность населения налоговыми и неналоговыми доходами консолидированного бюджета составила 54,</w:t>
      </w:r>
      <w:r w:rsidR="003368A6">
        <w:rPr>
          <w:rFonts w:ascii="Times New Roman" w:eastAsia="Times New Roman" w:hAnsi="Times New Roman" w:cs="Times New Roman"/>
          <w:sz w:val="28"/>
          <w:szCs w:val="28"/>
          <w:lang w:eastAsia="ru-RU"/>
        </w:rPr>
        <w:t>5</w:t>
      </w:r>
      <w:r w:rsidRPr="00065D93">
        <w:rPr>
          <w:rFonts w:ascii="Times New Roman" w:eastAsia="Times New Roman" w:hAnsi="Times New Roman" w:cs="Times New Roman"/>
          <w:sz w:val="28"/>
          <w:szCs w:val="28"/>
          <w:lang w:eastAsia="ru-RU"/>
        </w:rPr>
        <w:t xml:space="preserve"> тыс. рублей на человека, что является вторым по величине значением (после Красноярского края) в Сибирском федеральном округе и 19 – среди субъектов Российской Федерации.</w:t>
      </w:r>
    </w:p>
    <w:p w14:paraId="31B3647B" w14:textId="2503D4E5" w:rsidR="00065D93" w:rsidRPr="00065D93" w:rsidRDefault="002C353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улучшения структуры государственного долга Иркутской области </w:t>
      </w:r>
      <w:r w:rsidR="00065D93" w:rsidRPr="00065D93">
        <w:rPr>
          <w:rFonts w:ascii="Times New Roman" w:eastAsia="Times New Roman" w:hAnsi="Times New Roman" w:cs="Times New Roman"/>
          <w:sz w:val="28"/>
          <w:szCs w:val="28"/>
          <w:lang w:eastAsia="ru-RU"/>
        </w:rPr>
        <w:t xml:space="preserve">была продолжена работа по привлечению из федерального бюджета бюджетных кредитов для частичного покрытия дефицита бюджета в целях погашения долговых обязательств Иркутской области в виде обязательств </w:t>
      </w:r>
      <w:r w:rsidR="008B0689">
        <w:rPr>
          <w:rFonts w:ascii="Times New Roman" w:eastAsia="Times New Roman" w:hAnsi="Times New Roman" w:cs="Times New Roman"/>
          <w:sz w:val="28"/>
          <w:szCs w:val="28"/>
          <w:lang w:eastAsia="ru-RU"/>
        </w:rPr>
        <w:t>по</w:t>
      </w:r>
      <w:r w:rsidR="00065D93" w:rsidRPr="00065D93">
        <w:rPr>
          <w:rFonts w:ascii="Times New Roman" w:eastAsia="Times New Roman" w:hAnsi="Times New Roman" w:cs="Times New Roman"/>
          <w:sz w:val="28"/>
          <w:szCs w:val="28"/>
          <w:lang w:eastAsia="ru-RU"/>
        </w:rPr>
        <w:t xml:space="preserve"> кредитам, полученным от кредитных организаций. В 2016 году из федерального бюджета Иркутской областью получены два бюджетных кредита в объеме 4</w:t>
      </w:r>
      <w:r w:rsidR="003F7223">
        <w:rPr>
          <w:rFonts w:ascii="Times New Roman" w:eastAsia="Times New Roman" w:hAnsi="Times New Roman" w:cs="Times New Roman"/>
          <w:sz w:val="28"/>
          <w:szCs w:val="28"/>
          <w:lang w:eastAsia="ru-RU"/>
        </w:rPr>
        <w:t>,1 млрд</w:t>
      </w:r>
      <w:r w:rsidR="00065D93" w:rsidRPr="00065D93">
        <w:rPr>
          <w:rFonts w:ascii="Times New Roman" w:eastAsia="Times New Roman" w:hAnsi="Times New Roman" w:cs="Times New Roman"/>
          <w:sz w:val="28"/>
          <w:szCs w:val="28"/>
          <w:lang w:eastAsia="ru-RU"/>
        </w:rPr>
        <w:t xml:space="preserve"> рублей по ставке 0,1% годовых.</w:t>
      </w:r>
    </w:p>
    <w:p w14:paraId="07AF0D44" w14:textId="6D14FB89" w:rsidR="00285677" w:rsidRDefault="00285677"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65D93">
        <w:rPr>
          <w:rFonts w:ascii="Times New Roman" w:eastAsia="Times New Roman" w:hAnsi="Times New Roman" w:cs="Times New Roman"/>
          <w:sz w:val="28"/>
          <w:szCs w:val="28"/>
          <w:lang w:eastAsia="ru-RU"/>
        </w:rPr>
        <w:t xml:space="preserve">Кроме того, </w:t>
      </w:r>
      <w:r>
        <w:rPr>
          <w:rFonts w:ascii="Times New Roman" w:eastAsia="Times New Roman" w:hAnsi="Times New Roman" w:cs="Times New Roman"/>
          <w:sz w:val="28"/>
          <w:szCs w:val="28"/>
          <w:lang w:eastAsia="ru-RU"/>
        </w:rPr>
        <w:t xml:space="preserve">долговой портфель региона был дополнен </w:t>
      </w:r>
      <w:r w:rsidRPr="00065D93">
        <w:rPr>
          <w:rFonts w:ascii="Times New Roman" w:eastAsia="Times New Roman" w:hAnsi="Times New Roman" w:cs="Times New Roman"/>
          <w:sz w:val="28"/>
          <w:szCs w:val="28"/>
          <w:lang w:eastAsia="ru-RU"/>
        </w:rPr>
        <w:t xml:space="preserve">государственными ценными бумагами, размещение которых на сумму 5 млрд рублей </w:t>
      </w:r>
      <w:r>
        <w:rPr>
          <w:rFonts w:ascii="Times New Roman" w:eastAsia="Times New Roman" w:hAnsi="Times New Roman" w:cs="Times New Roman"/>
          <w:sz w:val="28"/>
          <w:szCs w:val="28"/>
          <w:lang w:eastAsia="ru-RU"/>
        </w:rPr>
        <w:t>состоялось</w:t>
      </w:r>
      <w:r w:rsidRPr="00065D93">
        <w:rPr>
          <w:rFonts w:ascii="Times New Roman" w:eastAsia="Times New Roman" w:hAnsi="Times New Roman" w:cs="Times New Roman"/>
          <w:sz w:val="28"/>
          <w:szCs w:val="28"/>
          <w:lang w:eastAsia="ru-RU"/>
        </w:rPr>
        <w:t xml:space="preserve"> в декабре 2016 года. Высокий спрос на облигации Иркутской области</w:t>
      </w:r>
      <w:r w:rsidRPr="00285677">
        <w:rPr>
          <w:rFonts w:ascii="Times New Roman" w:eastAsia="Times New Roman" w:hAnsi="Times New Roman" w:cs="Times New Roman"/>
          <w:sz w:val="28"/>
          <w:szCs w:val="28"/>
          <w:lang w:eastAsia="ru-RU"/>
        </w:rPr>
        <w:t xml:space="preserve">, </w:t>
      </w:r>
      <w:r w:rsidRPr="00065D93">
        <w:rPr>
          <w:rFonts w:ascii="Times New Roman" w:eastAsia="Times New Roman" w:hAnsi="Times New Roman" w:cs="Times New Roman"/>
          <w:sz w:val="28"/>
          <w:szCs w:val="28"/>
          <w:lang w:eastAsia="ru-RU"/>
        </w:rPr>
        <w:t>превысивший объем эмиссии</w:t>
      </w:r>
      <w:r w:rsidRPr="00285677">
        <w:rPr>
          <w:rFonts w:ascii="Times New Roman" w:eastAsia="Times New Roman" w:hAnsi="Times New Roman" w:cs="Times New Roman"/>
          <w:sz w:val="28"/>
          <w:szCs w:val="28"/>
          <w:lang w:eastAsia="ru-RU"/>
        </w:rPr>
        <w:t xml:space="preserve"> в 4,4 раз</w:t>
      </w:r>
      <w:r>
        <w:rPr>
          <w:rFonts w:ascii="Times New Roman" w:eastAsia="Times New Roman" w:hAnsi="Times New Roman" w:cs="Times New Roman"/>
          <w:sz w:val="28"/>
          <w:szCs w:val="28"/>
          <w:lang w:eastAsia="ru-RU"/>
        </w:rPr>
        <w:t>а</w:t>
      </w:r>
      <w:r w:rsidRPr="00065D93">
        <w:rPr>
          <w:rFonts w:ascii="Times New Roman" w:eastAsia="Times New Roman" w:hAnsi="Times New Roman" w:cs="Times New Roman"/>
          <w:sz w:val="28"/>
          <w:szCs w:val="28"/>
          <w:lang w:eastAsia="ru-RU"/>
        </w:rPr>
        <w:t>, подтвердил не только стабильность бюджетной системы региона, но и инвестиционную привлекательность его экономики.</w:t>
      </w:r>
    </w:p>
    <w:p w14:paraId="569CFEB2" w14:textId="268B8350" w:rsidR="00285677" w:rsidRPr="00285677" w:rsidRDefault="00285677" w:rsidP="0028567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85677">
        <w:rPr>
          <w:rFonts w:ascii="Times New Roman" w:eastAsia="Times New Roman" w:hAnsi="Times New Roman" w:cs="Times New Roman"/>
          <w:sz w:val="28"/>
          <w:szCs w:val="28"/>
          <w:lang w:eastAsia="ru-RU"/>
        </w:rPr>
        <w:t xml:space="preserve">Проводимая Правительством Иркутской области взвешенная долговая политика и эффективное использование имеющихся бюджетных ресурсов позволили региону остаться лидером среди субъектов Российской Федерации по темпу сокращения государственного долга </w:t>
      </w:r>
      <w:r w:rsidRPr="003F3F5B">
        <w:rPr>
          <w:rFonts w:ascii="Times New Roman" w:eastAsia="Times New Roman" w:hAnsi="Times New Roman" w:cs="Times New Roman"/>
          <w:sz w:val="28"/>
          <w:szCs w:val="28"/>
          <w:lang w:eastAsia="ru-RU"/>
        </w:rPr>
        <w:t>(</w:t>
      </w:r>
      <w:r w:rsidR="003F3F5B">
        <w:rPr>
          <w:rFonts w:ascii="Times New Roman" w:eastAsia="Times New Roman" w:hAnsi="Times New Roman" w:cs="Times New Roman"/>
          <w:sz w:val="28"/>
          <w:szCs w:val="28"/>
          <w:lang w:eastAsia="ru-RU"/>
        </w:rPr>
        <w:t>«</w:t>
      </w:r>
      <w:r w:rsidRPr="003F3F5B">
        <w:rPr>
          <w:rFonts w:ascii="Times New Roman" w:eastAsia="Times New Roman" w:hAnsi="Times New Roman" w:cs="Times New Roman"/>
          <w:sz w:val="28"/>
          <w:szCs w:val="28"/>
          <w:lang w:eastAsia="ru-RU"/>
        </w:rPr>
        <w:t>-»</w:t>
      </w:r>
      <w:r w:rsidRPr="00285677">
        <w:rPr>
          <w:rFonts w:ascii="Times New Roman" w:eastAsia="Times New Roman" w:hAnsi="Times New Roman" w:cs="Times New Roman"/>
          <w:sz w:val="28"/>
          <w:szCs w:val="28"/>
          <w:lang w:eastAsia="ru-RU"/>
        </w:rPr>
        <w:t xml:space="preserve"> 11%</w:t>
      </w:r>
      <w:r w:rsidRPr="003F3F5B">
        <w:rPr>
          <w:rFonts w:ascii="Times New Roman" w:eastAsia="Times New Roman" w:hAnsi="Times New Roman" w:cs="Times New Roman"/>
          <w:sz w:val="28"/>
          <w:szCs w:val="28"/>
          <w:lang w:eastAsia="ru-RU"/>
        </w:rPr>
        <w:t xml:space="preserve"> или </w:t>
      </w:r>
      <w:r w:rsidRPr="00285677">
        <w:rPr>
          <w:rFonts w:ascii="Times New Roman" w:eastAsia="Times New Roman" w:hAnsi="Times New Roman" w:cs="Times New Roman"/>
          <w:sz w:val="28"/>
          <w:szCs w:val="28"/>
          <w:lang w:eastAsia="ru-RU"/>
        </w:rPr>
        <w:t>2</w:t>
      </w:r>
      <w:r w:rsidRPr="003F3F5B">
        <w:rPr>
          <w:rFonts w:ascii="Times New Roman" w:eastAsia="Times New Roman" w:hAnsi="Times New Roman" w:cs="Times New Roman"/>
          <w:sz w:val="28"/>
          <w:szCs w:val="28"/>
          <w:lang w:eastAsia="ru-RU"/>
        </w:rPr>
        <w:t>,3 млрд рублей</w:t>
      </w:r>
      <w:r w:rsidRPr="00285677">
        <w:rPr>
          <w:rFonts w:ascii="Times New Roman" w:eastAsia="Times New Roman" w:hAnsi="Times New Roman" w:cs="Times New Roman"/>
          <w:sz w:val="28"/>
          <w:szCs w:val="28"/>
          <w:lang w:eastAsia="ru-RU"/>
        </w:rPr>
        <w:t xml:space="preserve">), заняв 6 место по данному показателю среди субъектов Российской Федерации. </w:t>
      </w:r>
    </w:p>
    <w:p w14:paraId="5FE3D9FD" w14:textId="4F013EA9" w:rsidR="00285677" w:rsidRPr="00285677" w:rsidRDefault="00285677" w:rsidP="0028567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85677">
        <w:rPr>
          <w:rFonts w:ascii="Times New Roman" w:eastAsia="Times New Roman" w:hAnsi="Times New Roman" w:cs="Times New Roman"/>
          <w:sz w:val="28"/>
          <w:szCs w:val="28"/>
          <w:lang w:eastAsia="ru-RU"/>
        </w:rPr>
        <w:t>Объем государственного долга по итогам 2016 года составил 18,8 млрд рублей или 17,7% общего объема доходов бюджета без учета безвозмездных поступлений</w:t>
      </w:r>
      <w:r w:rsidR="003F3F5B" w:rsidRPr="00A33434">
        <w:rPr>
          <w:rFonts w:ascii="Times New Roman" w:eastAsia="Times New Roman" w:hAnsi="Times New Roman" w:cs="Times New Roman"/>
          <w:sz w:val="28"/>
          <w:szCs w:val="28"/>
          <w:lang w:eastAsia="ru-RU"/>
        </w:rPr>
        <w:t xml:space="preserve">, что </w:t>
      </w:r>
      <w:r w:rsidRPr="00285677">
        <w:rPr>
          <w:rFonts w:ascii="Times New Roman" w:eastAsia="Times New Roman" w:hAnsi="Times New Roman" w:cs="Times New Roman"/>
          <w:sz w:val="28"/>
          <w:szCs w:val="28"/>
          <w:lang w:eastAsia="ru-RU"/>
        </w:rPr>
        <w:t xml:space="preserve">ниже рекомендованного Минфином России предельно допустимого значения (50%). По данному показателю Иркутская область </w:t>
      </w:r>
      <w:r w:rsidR="003F3F5B" w:rsidRPr="00A33434">
        <w:rPr>
          <w:rFonts w:ascii="Times New Roman" w:eastAsia="Times New Roman" w:hAnsi="Times New Roman" w:cs="Times New Roman"/>
          <w:sz w:val="28"/>
          <w:szCs w:val="28"/>
          <w:lang w:eastAsia="ru-RU"/>
        </w:rPr>
        <w:t xml:space="preserve">находится на </w:t>
      </w:r>
      <w:r w:rsidRPr="00285677">
        <w:rPr>
          <w:rFonts w:ascii="Times New Roman" w:eastAsia="Times New Roman" w:hAnsi="Times New Roman" w:cs="Times New Roman"/>
          <w:sz w:val="28"/>
          <w:szCs w:val="28"/>
          <w:lang w:eastAsia="ru-RU"/>
        </w:rPr>
        <w:t>2 мест</w:t>
      </w:r>
      <w:r w:rsidR="003F3F5B" w:rsidRPr="00A33434">
        <w:rPr>
          <w:rFonts w:ascii="Times New Roman" w:eastAsia="Times New Roman" w:hAnsi="Times New Roman" w:cs="Times New Roman"/>
          <w:sz w:val="28"/>
          <w:szCs w:val="28"/>
          <w:lang w:eastAsia="ru-RU"/>
        </w:rPr>
        <w:t>е</w:t>
      </w:r>
      <w:r w:rsidRPr="00285677">
        <w:rPr>
          <w:rFonts w:ascii="Times New Roman" w:eastAsia="Times New Roman" w:hAnsi="Times New Roman" w:cs="Times New Roman"/>
          <w:sz w:val="28"/>
          <w:szCs w:val="28"/>
          <w:lang w:eastAsia="ru-RU"/>
        </w:rPr>
        <w:t xml:space="preserve"> среди субъектов Сибирского федерального округа и </w:t>
      </w:r>
      <w:r w:rsidR="003F3F5B" w:rsidRPr="00A33434">
        <w:rPr>
          <w:rFonts w:ascii="Times New Roman" w:eastAsia="Times New Roman" w:hAnsi="Times New Roman" w:cs="Times New Roman"/>
          <w:sz w:val="28"/>
          <w:szCs w:val="28"/>
          <w:lang w:eastAsia="ru-RU"/>
        </w:rPr>
        <w:t xml:space="preserve">на </w:t>
      </w:r>
      <w:r w:rsidRPr="00285677">
        <w:rPr>
          <w:rFonts w:ascii="Times New Roman" w:eastAsia="Times New Roman" w:hAnsi="Times New Roman" w:cs="Times New Roman"/>
          <w:sz w:val="28"/>
          <w:szCs w:val="28"/>
          <w:lang w:eastAsia="ru-RU"/>
        </w:rPr>
        <w:t xml:space="preserve">13 по России. </w:t>
      </w:r>
    </w:p>
    <w:p w14:paraId="10837BB6" w14:textId="5F70BF92" w:rsidR="0034071E" w:rsidRDefault="009468EF"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468EF">
        <w:rPr>
          <w:rFonts w:ascii="Times New Roman" w:eastAsia="Times New Roman" w:hAnsi="Times New Roman" w:cs="Times New Roman"/>
          <w:sz w:val="28"/>
          <w:szCs w:val="28"/>
          <w:lang w:eastAsia="ru-RU"/>
        </w:rPr>
        <w:t>Расходы на обслуживание долговых обязательств Иркутской области удалось сократить в 2,1 раза от первоначального плана или на 993,6 млн рублей. Уровень расходов на обслуживание составил 0,7% общего объема расходов областного бюджета за исключением расходов, осуществляемых за счет субвенций, при рекомендованном федеральным центром ограничении - не более 5%.</w:t>
      </w:r>
    </w:p>
    <w:p w14:paraId="47F231E1" w14:textId="6D20C3FD" w:rsidR="009468EF" w:rsidRDefault="00E6190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9468EF">
        <w:rPr>
          <w:rFonts w:ascii="Times New Roman" w:eastAsia="Times New Roman" w:hAnsi="Times New Roman" w:cs="Times New Roman"/>
          <w:sz w:val="28"/>
          <w:szCs w:val="28"/>
          <w:lang w:eastAsia="ru-RU"/>
        </w:rPr>
        <w:t>роведени</w:t>
      </w:r>
      <w:r>
        <w:rPr>
          <w:rFonts w:ascii="Times New Roman" w:eastAsia="Times New Roman" w:hAnsi="Times New Roman" w:cs="Times New Roman"/>
          <w:sz w:val="28"/>
          <w:szCs w:val="28"/>
          <w:lang w:eastAsia="ru-RU"/>
        </w:rPr>
        <w:t>е</w:t>
      </w:r>
      <w:r w:rsidRPr="009468EF">
        <w:rPr>
          <w:rFonts w:ascii="Times New Roman" w:eastAsia="Times New Roman" w:hAnsi="Times New Roman" w:cs="Times New Roman"/>
          <w:sz w:val="28"/>
          <w:szCs w:val="28"/>
          <w:lang w:eastAsia="ru-RU"/>
        </w:rPr>
        <w:t xml:space="preserve"> взвешенной долговой политики, </w:t>
      </w:r>
      <w:r>
        <w:rPr>
          <w:rFonts w:ascii="Times New Roman" w:eastAsia="Times New Roman" w:hAnsi="Times New Roman" w:cs="Times New Roman"/>
          <w:sz w:val="28"/>
          <w:szCs w:val="28"/>
          <w:lang w:eastAsia="ru-RU"/>
        </w:rPr>
        <w:t>работа по оптимизации расходов   позволили</w:t>
      </w:r>
      <w:r w:rsidRPr="009468EF">
        <w:rPr>
          <w:rFonts w:ascii="Times New Roman" w:eastAsia="Times New Roman" w:hAnsi="Times New Roman" w:cs="Times New Roman"/>
          <w:sz w:val="28"/>
          <w:szCs w:val="28"/>
          <w:lang w:eastAsia="ru-RU"/>
        </w:rPr>
        <w:t xml:space="preserve"> пересмотреть аналитик</w:t>
      </w:r>
      <w:r>
        <w:rPr>
          <w:rFonts w:ascii="Times New Roman" w:eastAsia="Times New Roman" w:hAnsi="Times New Roman" w:cs="Times New Roman"/>
          <w:sz w:val="28"/>
          <w:szCs w:val="28"/>
          <w:lang w:eastAsia="ru-RU"/>
        </w:rPr>
        <w:t>ами</w:t>
      </w:r>
      <w:r w:rsidRPr="009468EF">
        <w:rPr>
          <w:rFonts w:ascii="Times New Roman" w:eastAsia="Times New Roman" w:hAnsi="Times New Roman" w:cs="Times New Roman"/>
          <w:sz w:val="28"/>
          <w:szCs w:val="28"/>
          <w:lang w:eastAsia="ru-RU"/>
        </w:rPr>
        <w:t xml:space="preserve"> международного рейтингового агентств</w:t>
      </w:r>
      <w:r>
        <w:rPr>
          <w:rFonts w:ascii="Times New Roman" w:eastAsia="Times New Roman" w:hAnsi="Times New Roman" w:cs="Times New Roman"/>
          <w:sz w:val="28"/>
          <w:szCs w:val="28"/>
          <w:lang w:eastAsia="ru-RU"/>
        </w:rPr>
        <w:t>а</w:t>
      </w:r>
      <w:r w:rsidRPr="009468EF">
        <w:rPr>
          <w:rFonts w:ascii="Times New Roman" w:eastAsia="Times New Roman" w:hAnsi="Times New Roman" w:cs="Times New Roman"/>
          <w:sz w:val="28"/>
          <w:szCs w:val="28"/>
          <w:lang w:eastAsia="ru-RU"/>
        </w:rPr>
        <w:t xml:space="preserve"> </w:t>
      </w:r>
      <w:proofErr w:type="spellStart"/>
      <w:r w:rsidRPr="00E6190A">
        <w:rPr>
          <w:rFonts w:ascii="Times New Roman" w:eastAsia="Times New Roman" w:hAnsi="Times New Roman" w:cs="Times New Roman"/>
          <w:sz w:val="28"/>
          <w:szCs w:val="28"/>
          <w:lang w:eastAsia="ru-RU"/>
        </w:rPr>
        <w:t>Standard</w:t>
      </w:r>
      <w:proofErr w:type="spellEnd"/>
      <w:r w:rsidRPr="00E6190A">
        <w:rPr>
          <w:rFonts w:ascii="Times New Roman" w:eastAsia="Times New Roman" w:hAnsi="Times New Roman" w:cs="Times New Roman"/>
          <w:sz w:val="28"/>
          <w:szCs w:val="28"/>
          <w:lang w:eastAsia="ru-RU"/>
        </w:rPr>
        <w:t xml:space="preserve"> &amp; </w:t>
      </w:r>
      <w:proofErr w:type="spellStart"/>
      <w:r w:rsidRPr="00E6190A">
        <w:rPr>
          <w:rFonts w:ascii="Times New Roman" w:eastAsia="Times New Roman" w:hAnsi="Times New Roman" w:cs="Times New Roman"/>
          <w:sz w:val="28"/>
          <w:szCs w:val="28"/>
          <w:lang w:eastAsia="ru-RU"/>
        </w:rPr>
        <w:t>Poor’s</w:t>
      </w:r>
      <w:proofErr w:type="spellEnd"/>
      <w:r w:rsidRPr="009468EF">
        <w:rPr>
          <w:rFonts w:ascii="Times New Roman" w:eastAsia="Times New Roman" w:hAnsi="Times New Roman" w:cs="Times New Roman"/>
          <w:sz w:val="28"/>
          <w:szCs w:val="28"/>
          <w:lang w:eastAsia="ru-RU"/>
        </w:rPr>
        <w:t xml:space="preserve"> прогноз по рейтингу в положительную сторону</w:t>
      </w:r>
      <w:r>
        <w:rPr>
          <w:rFonts w:ascii="Times New Roman" w:eastAsia="Times New Roman" w:hAnsi="Times New Roman" w:cs="Times New Roman"/>
          <w:sz w:val="28"/>
          <w:szCs w:val="28"/>
          <w:lang w:eastAsia="ru-RU"/>
        </w:rPr>
        <w:t>. П</w:t>
      </w:r>
      <w:r w:rsidR="009468EF" w:rsidRPr="009468EF">
        <w:rPr>
          <w:rFonts w:ascii="Times New Roman" w:eastAsia="Times New Roman" w:hAnsi="Times New Roman" w:cs="Times New Roman"/>
          <w:sz w:val="28"/>
          <w:szCs w:val="28"/>
          <w:lang w:eastAsia="ru-RU"/>
        </w:rPr>
        <w:t xml:space="preserve">о итогам 2016 года долгосрочный кредитный рейтинг Иркутской области подтвержден на уровне «ВВ», прогноз изменения рейтинга пересмотрен с «Негативного» на «Стабильный». </w:t>
      </w:r>
    </w:p>
    <w:p w14:paraId="0018126A" w14:textId="77777777" w:rsidR="00651A51" w:rsidRPr="00651A51" w:rsidRDefault="00651A51" w:rsidP="00651A5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51A51">
        <w:rPr>
          <w:rFonts w:ascii="Times New Roman" w:eastAsia="Times New Roman" w:hAnsi="Times New Roman" w:cs="Times New Roman"/>
          <w:sz w:val="28"/>
          <w:szCs w:val="28"/>
          <w:lang w:eastAsia="ru-RU"/>
        </w:rPr>
        <w:t xml:space="preserve">Несмотря на изменения с начала года бюджетного и налогового законодательства, предусматривающие сокращение нормативов зачисления отдельных налоговых доходов (передача налога на прибыль по ставке один процент в федеральный бюджет, снижение норматива зачисления доходов от уплаты акцизов на нефтепродукты в бюджеты субъектов Российской Федерации, передача тридцати процентов налога по упрощенной системе налогообложения в местные бюджеты Иркутской области), доходы бюджета продолжили свой рост в 2017 году. </w:t>
      </w:r>
    </w:p>
    <w:p w14:paraId="36872AC6" w14:textId="77777777" w:rsidR="00651A51" w:rsidRPr="00651A51" w:rsidRDefault="00651A51" w:rsidP="00651A5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51A51">
        <w:rPr>
          <w:rFonts w:ascii="Times New Roman" w:eastAsia="Times New Roman" w:hAnsi="Times New Roman" w:cs="Times New Roman"/>
          <w:sz w:val="28"/>
          <w:szCs w:val="28"/>
          <w:lang w:eastAsia="ru-RU"/>
        </w:rPr>
        <w:t xml:space="preserve">Принимаемые Правительством региона меры по наращиванию собственного доходного потенциала, включающие реализацию антикризисного плана (Плана первоочередных антикризисных мер по обеспечению устойчивого развития экономики и социальной стабильности на территории Иркутской области в 2017 году, утвержденного распоряжением Губернатора Иркутской области от 17 марта 2017 года № 29-р) и тесное взаимодействие с крупнейшими налогоплательщиками региона позволили региону сохранить лидирующие позиции среди субъектов Российской Федерации по темпу роста налоговых и неналоговых доходов бюджета. </w:t>
      </w:r>
    </w:p>
    <w:p w14:paraId="586F4F22" w14:textId="77777777" w:rsidR="00651A51" w:rsidRDefault="00651A51" w:rsidP="00651A5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51A51">
        <w:rPr>
          <w:rFonts w:ascii="Times New Roman" w:eastAsia="Times New Roman" w:hAnsi="Times New Roman" w:cs="Times New Roman"/>
          <w:sz w:val="28"/>
          <w:szCs w:val="28"/>
          <w:lang w:eastAsia="ru-RU"/>
        </w:rPr>
        <w:t xml:space="preserve">За 9 месяцев 2017 года налоговые и неналоговые доходы областного бюджета возросли на 9,0 млрд рублей или на 12,1%, что является 21 по величине темпа роста значением среди регионов страны и на 3,6 </w:t>
      </w:r>
      <w:proofErr w:type="spellStart"/>
      <w:r w:rsidRPr="00651A51">
        <w:rPr>
          <w:rFonts w:ascii="Times New Roman" w:eastAsia="Times New Roman" w:hAnsi="Times New Roman" w:cs="Times New Roman"/>
          <w:sz w:val="28"/>
          <w:szCs w:val="28"/>
          <w:lang w:eastAsia="ru-RU"/>
        </w:rPr>
        <w:t>п.п</w:t>
      </w:r>
      <w:proofErr w:type="spellEnd"/>
      <w:r w:rsidRPr="00651A51">
        <w:rPr>
          <w:rFonts w:ascii="Times New Roman" w:eastAsia="Times New Roman" w:hAnsi="Times New Roman" w:cs="Times New Roman"/>
          <w:sz w:val="28"/>
          <w:szCs w:val="28"/>
          <w:lang w:eastAsia="ru-RU"/>
        </w:rPr>
        <w:t>. превосходит средний по стране уровень.</w:t>
      </w:r>
    </w:p>
    <w:p w14:paraId="72A0CBB4" w14:textId="04D861B2" w:rsidR="002C353A" w:rsidRPr="0034071E" w:rsidRDefault="009468EF" w:rsidP="00651A5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Стабилизация в отчетном периоде поступлений в областной бюджет, </w:t>
      </w:r>
      <w:r w:rsidR="002C353A" w:rsidRPr="002C353A">
        <w:rPr>
          <w:rFonts w:ascii="Times New Roman" w:eastAsia="Times New Roman" w:hAnsi="Times New Roman" w:cs="Times New Roman"/>
          <w:sz w:val="28"/>
          <w:szCs w:val="28"/>
          <w:lang w:eastAsia="ru-RU"/>
        </w:rPr>
        <w:t>привлечен</w:t>
      </w:r>
      <w:r>
        <w:rPr>
          <w:rFonts w:ascii="Times New Roman" w:eastAsia="Times New Roman" w:hAnsi="Times New Roman" w:cs="Times New Roman"/>
          <w:sz w:val="28"/>
          <w:szCs w:val="28"/>
          <w:lang w:eastAsia="ru-RU"/>
        </w:rPr>
        <w:t>ие</w:t>
      </w:r>
      <w:r w:rsidR="002C353A" w:rsidRPr="002C353A">
        <w:rPr>
          <w:rFonts w:ascii="Times New Roman" w:eastAsia="Times New Roman" w:hAnsi="Times New Roman" w:cs="Times New Roman"/>
          <w:sz w:val="28"/>
          <w:szCs w:val="28"/>
          <w:lang w:eastAsia="ru-RU"/>
        </w:rPr>
        <w:t xml:space="preserve"> бюджетны</w:t>
      </w:r>
      <w:r>
        <w:rPr>
          <w:rFonts w:ascii="Times New Roman" w:eastAsia="Times New Roman" w:hAnsi="Times New Roman" w:cs="Times New Roman"/>
          <w:sz w:val="28"/>
          <w:szCs w:val="28"/>
          <w:lang w:eastAsia="ru-RU"/>
        </w:rPr>
        <w:t>х</w:t>
      </w:r>
      <w:r w:rsidR="002C353A" w:rsidRPr="002C353A">
        <w:rPr>
          <w:rFonts w:ascii="Times New Roman" w:eastAsia="Times New Roman" w:hAnsi="Times New Roman" w:cs="Times New Roman"/>
          <w:sz w:val="28"/>
          <w:szCs w:val="28"/>
          <w:lang w:eastAsia="ru-RU"/>
        </w:rPr>
        <w:t xml:space="preserve"> кредит</w:t>
      </w:r>
      <w:r>
        <w:rPr>
          <w:rFonts w:ascii="Times New Roman" w:eastAsia="Times New Roman" w:hAnsi="Times New Roman" w:cs="Times New Roman"/>
          <w:sz w:val="28"/>
          <w:szCs w:val="28"/>
          <w:lang w:eastAsia="ru-RU"/>
        </w:rPr>
        <w:t>ов из федерального бюджета (</w:t>
      </w:r>
      <w:r w:rsidR="00A155B9">
        <w:rPr>
          <w:rFonts w:ascii="Times New Roman" w:eastAsia="Times New Roman" w:hAnsi="Times New Roman" w:cs="Times New Roman"/>
          <w:sz w:val="28"/>
          <w:szCs w:val="28"/>
          <w:lang w:eastAsia="ru-RU"/>
        </w:rPr>
        <w:t>493 млн</w:t>
      </w:r>
      <w:r w:rsidR="002C353A" w:rsidRPr="002C353A">
        <w:rPr>
          <w:rFonts w:ascii="Times New Roman" w:eastAsia="Times New Roman" w:hAnsi="Times New Roman" w:cs="Times New Roman"/>
          <w:sz w:val="28"/>
          <w:szCs w:val="28"/>
          <w:lang w:eastAsia="ru-RU"/>
        </w:rPr>
        <w:t xml:space="preserve"> рублей</w:t>
      </w:r>
      <w:r>
        <w:rPr>
          <w:rFonts w:ascii="Times New Roman" w:eastAsia="Times New Roman" w:hAnsi="Times New Roman" w:cs="Times New Roman"/>
          <w:sz w:val="28"/>
          <w:szCs w:val="28"/>
          <w:lang w:eastAsia="ru-RU"/>
        </w:rPr>
        <w:t xml:space="preserve">), досрочное </w:t>
      </w:r>
      <w:r w:rsidR="002C353A" w:rsidRPr="002C353A">
        <w:rPr>
          <w:rFonts w:ascii="Times New Roman" w:eastAsia="Times New Roman" w:hAnsi="Times New Roman" w:cs="Times New Roman"/>
          <w:sz w:val="28"/>
          <w:szCs w:val="28"/>
          <w:lang w:eastAsia="ru-RU"/>
        </w:rPr>
        <w:t xml:space="preserve">погашение кредитов кредитных организаций </w:t>
      </w:r>
      <w:r>
        <w:rPr>
          <w:rFonts w:ascii="Times New Roman" w:eastAsia="Times New Roman" w:hAnsi="Times New Roman" w:cs="Times New Roman"/>
          <w:sz w:val="28"/>
          <w:szCs w:val="28"/>
          <w:lang w:eastAsia="ru-RU"/>
        </w:rPr>
        <w:t>(</w:t>
      </w:r>
      <w:r w:rsidR="002C353A" w:rsidRPr="002C353A">
        <w:rPr>
          <w:rFonts w:ascii="Times New Roman" w:eastAsia="Times New Roman" w:hAnsi="Times New Roman" w:cs="Times New Roman"/>
          <w:sz w:val="28"/>
          <w:szCs w:val="28"/>
          <w:lang w:eastAsia="ru-RU"/>
        </w:rPr>
        <w:t>5,5 млрд рублей</w:t>
      </w:r>
      <w:r>
        <w:rPr>
          <w:rFonts w:ascii="Times New Roman" w:eastAsia="Times New Roman" w:hAnsi="Times New Roman" w:cs="Times New Roman"/>
          <w:sz w:val="28"/>
          <w:szCs w:val="28"/>
          <w:lang w:eastAsia="ru-RU"/>
        </w:rPr>
        <w:t xml:space="preserve">) способствовали снижению долговой нагрузки и экономии расходов </w:t>
      </w:r>
      <w:r w:rsidR="002C353A" w:rsidRPr="002C353A">
        <w:rPr>
          <w:rFonts w:ascii="Times New Roman" w:eastAsia="Times New Roman" w:hAnsi="Times New Roman" w:cs="Times New Roman"/>
          <w:sz w:val="28"/>
          <w:szCs w:val="28"/>
          <w:lang w:eastAsia="ru-RU"/>
        </w:rPr>
        <w:t>на обслуживание</w:t>
      </w:r>
      <w:r>
        <w:rPr>
          <w:rFonts w:ascii="Times New Roman" w:eastAsia="Times New Roman" w:hAnsi="Times New Roman" w:cs="Times New Roman"/>
          <w:sz w:val="28"/>
          <w:szCs w:val="28"/>
          <w:lang w:eastAsia="ru-RU"/>
        </w:rPr>
        <w:t>. По состоянию на 01.10.2017 года</w:t>
      </w:r>
      <w:r w:rsidR="002C353A" w:rsidRPr="002C3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Pr="009468EF">
        <w:rPr>
          <w:rFonts w:ascii="Times New Roman" w:eastAsia="Times New Roman" w:hAnsi="Times New Roman" w:cs="Times New Roman"/>
          <w:sz w:val="28"/>
          <w:szCs w:val="28"/>
          <w:lang w:eastAsia="ru-RU"/>
        </w:rPr>
        <w:t>осударственный долг</w:t>
      </w:r>
      <w:r>
        <w:rPr>
          <w:rFonts w:ascii="Times New Roman" w:eastAsia="Times New Roman" w:hAnsi="Times New Roman" w:cs="Times New Roman"/>
          <w:sz w:val="28"/>
          <w:szCs w:val="28"/>
          <w:lang w:eastAsia="ru-RU"/>
        </w:rPr>
        <w:t xml:space="preserve"> Иркутской области </w:t>
      </w:r>
      <w:r w:rsidR="0034296C">
        <w:rPr>
          <w:rFonts w:ascii="Times New Roman" w:eastAsia="Times New Roman" w:hAnsi="Times New Roman" w:cs="Times New Roman"/>
          <w:sz w:val="28"/>
          <w:szCs w:val="28"/>
          <w:lang w:eastAsia="ru-RU"/>
        </w:rPr>
        <w:t xml:space="preserve">составил </w:t>
      </w:r>
      <w:r w:rsidRPr="009468EF">
        <w:rPr>
          <w:rFonts w:ascii="Times New Roman" w:eastAsia="Times New Roman" w:hAnsi="Times New Roman" w:cs="Times New Roman"/>
          <w:sz w:val="28"/>
          <w:szCs w:val="28"/>
          <w:lang w:eastAsia="ru-RU"/>
        </w:rPr>
        <w:t>13</w:t>
      </w:r>
      <w:r w:rsidR="0034296C">
        <w:rPr>
          <w:rFonts w:ascii="Times New Roman" w:eastAsia="Times New Roman" w:hAnsi="Times New Roman" w:cs="Times New Roman"/>
          <w:sz w:val="28"/>
          <w:szCs w:val="28"/>
          <w:lang w:eastAsia="ru-RU"/>
        </w:rPr>
        <w:t>,8</w:t>
      </w:r>
      <w:r w:rsidRPr="009468EF">
        <w:rPr>
          <w:rFonts w:ascii="Times New Roman" w:eastAsia="Times New Roman" w:hAnsi="Times New Roman" w:cs="Times New Roman"/>
          <w:sz w:val="28"/>
          <w:szCs w:val="28"/>
          <w:lang w:eastAsia="ru-RU"/>
        </w:rPr>
        <w:t xml:space="preserve"> мл</w:t>
      </w:r>
      <w:r w:rsidR="0034296C">
        <w:rPr>
          <w:rFonts w:ascii="Times New Roman" w:eastAsia="Times New Roman" w:hAnsi="Times New Roman" w:cs="Times New Roman"/>
          <w:sz w:val="28"/>
          <w:szCs w:val="28"/>
          <w:lang w:eastAsia="ru-RU"/>
        </w:rPr>
        <w:t>рд</w:t>
      </w:r>
      <w:r w:rsidRPr="009468EF">
        <w:rPr>
          <w:rFonts w:ascii="Times New Roman" w:eastAsia="Times New Roman" w:hAnsi="Times New Roman" w:cs="Times New Roman"/>
          <w:sz w:val="28"/>
          <w:szCs w:val="28"/>
          <w:lang w:eastAsia="ru-RU"/>
        </w:rPr>
        <w:t xml:space="preserve"> рублей </w:t>
      </w:r>
      <w:r w:rsidR="0034296C">
        <w:rPr>
          <w:rFonts w:ascii="Times New Roman" w:eastAsia="Times New Roman" w:hAnsi="Times New Roman" w:cs="Times New Roman"/>
          <w:sz w:val="28"/>
          <w:szCs w:val="28"/>
          <w:lang w:eastAsia="ru-RU"/>
        </w:rPr>
        <w:t>(13% к запланированному объему налоговых и неналоговых доходов).</w:t>
      </w:r>
      <w:r w:rsidR="00E14B90" w:rsidRPr="00E14B90">
        <w:t xml:space="preserve"> </w:t>
      </w:r>
      <w:r w:rsidR="00E14B90" w:rsidRPr="00E14B90">
        <w:rPr>
          <w:rFonts w:ascii="Times New Roman" w:eastAsia="Times New Roman" w:hAnsi="Times New Roman" w:cs="Times New Roman"/>
          <w:sz w:val="28"/>
          <w:szCs w:val="28"/>
          <w:lang w:eastAsia="ru-RU"/>
        </w:rPr>
        <w:t>Экономия расходов на обслуживание по отношению к первоначально запланированному объему составила 1 090,1 млн рублей.</w:t>
      </w:r>
    </w:p>
    <w:p w14:paraId="29D756C6" w14:textId="7C180BE9" w:rsidR="00065D93" w:rsidRPr="00065D93" w:rsidRDefault="0034071E"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2016-2017 годах продолжена работа по с</w:t>
      </w:r>
      <w:r w:rsidR="00065D93" w:rsidRPr="00065D93">
        <w:rPr>
          <w:rFonts w:ascii="Times New Roman" w:eastAsia="Times New Roman" w:hAnsi="Times New Roman" w:cs="Times New Roman"/>
          <w:sz w:val="28"/>
          <w:szCs w:val="28"/>
          <w:lang w:eastAsia="ru-RU"/>
        </w:rPr>
        <w:t>овершенствовани</w:t>
      </w:r>
      <w:r>
        <w:rPr>
          <w:rFonts w:ascii="Times New Roman" w:eastAsia="Times New Roman" w:hAnsi="Times New Roman" w:cs="Times New Roman"/>
          <w:sz w:val="28"/>
          <w:szCs w:val="28"/>
          <w:lang w:eastAsia="ru-RU"/>
        </w:rPr>
        <w:t>ю</w:t>
      </w:r>
      <w:r w:rsidR="00065D93" w:rsidRPr="00065D93">
        <w:rPr>
          <w:rFonts w:ascii="Times New Roman" w:eastAsia="Times New Roman" w:hAnsi="Times New Roman" w:cs="Times New Roman"/>
          <w:sz w:val="28"/>
          <w:szCs w:val="28"/>
          <w:lang w:eastAsia="ru-RU"/>
        </w:rPr>
        <w:t xml:space="preserve"> межбюджетных отношений</w:t>
      </w:r>
      <w:r>
        <w:rPr>
          <w:rFonts w:ascii="Times New Roman" w:eastAsia="Times New Roman" w:hAnsi="Times New Roman" w:cs="Times New Roman"/>
          <w:sz w:val="28"/>
          <w:szCs w:val="28"/>
          <w:lang w:eastAsia="ru-RU"/>
        </w:rPr>
        <w:t xml:space="preserve"> на региональном уровне, являющаяся одним</w:t>
      </w:r>
      <w:r w:rsidR="00065D93" w:rsidRPr="00065D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 </w:t>
      </w:r>
      <w:r w:rsidR="00065D93" w:rsidRPr="00065D93">
        <w:rPr>
          <w:rFonts w:ascii="Times New Roman" w:eastAsia="Times New Roman" w:hAnsi="Times New Roman" w:cs="Times New Roman"/>
          <w:sz w:val="28"/>
          <w:szCs w:val="28"/>
          <w:lang w:eastAsia="ru-RU"/>
        </w:rPr>
        <w:t xml:space="preserve">направлений реализуемой в области бюджетной политики. </w:t>
      </w:r>
    </w:p>
    <w:p w14:paraId="4528BCA7" w14:textId="4B7064B5" w:rsidR="00065D93" w:rsidRDefault="00065D93"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65D93">
        <w:rPr>
          <w:rFonts w:ascii="Times New Roman" w:eastAsia="Times New Roman" w:hAnsi="Times New Roman" w:cs="Times New Roman"/>
          <w:sz w:val="28"/>
          <w:szCs w:val="28"/>
          <w:lang w:eastAsia="ru-RU"/>
        </w:rPr>
        <w:t>В целях обеспечения сбалансированности местных бюджетов были приняты важные для муниципальных образований решения по передаче с 2017 года в их бюджеты части налоговых доходов - 30% от налога по упрощенной системе налогообложения или более 1,</w:t>
      </w:r>
      <w:r w:rsidR="003F7223">
        <w:rPr>
          <w:rFonts w:ascii="Times New Roman" w:eastAsia="Times New Roman" w:hAnsi="Times New Roman" w:cs="Times New Roman"/>
          <w:sz w:val="28"/>
          <w:szCs w:val="28"/>
          <w:lang w:eastAsia="ru-RU"/>
        </w:rPr>
        <w:t>5</w:t>
      </w:r>
      <w:r w:rsidRPr="00065D93">
        <w:rPr>
          <w:rFonts w:ascii="Times New Roman" w:eastAsia="Times New Roman" w:hAnsi="Times New Roman" w:cs="Times New Roman"/>
          <w:sz w:val="28"/>
          <w:szCs w:val="28"/>
          <w:lang w:eastAsia="ru-RU"/>
        </w:rPr>
        <w:t xml:space="preserve"> млрд рублей в год, также предусмотрено увеличение на 5% </w:t>
      </w:r>
      <w:r w:rsidR="003F7223">
        <w:rPr>
          <w:rFonts w:ascii="Times New Roman" w:eastAsia="Times New Roman" w:hAnsi="Times New Roman" w:cs="Times New Roman"/>
          <w:sz w:val="28"/>
          <w:szCs w:val="28"/>
          <w:lang w:eastAsia="ru-RU"/>
        </w:rPr>
        <w:t xml:space="preserve">(до 15%) </w:t>
      </w:r>
      <w:r w:rsidRPr="00065D93">
        <w:rPr>
          <w:rFonts w:ascii="Times New Roman" w:eastAsia="Times New Roman" w:hAnsi="Times New Roman" w:cs="Times New Roman"/>
          <w:sz w:val="28"/>
          <w:szCs w:val="28"/>
          <w:lang w:eastAsia="ru-RU"/>
        </w:rPr>
        <w:t>формирующих муниципальные дорожные фонды доходов местных бюджетов от акцизов на нефтепродукты.</w:t>
      </w:r>
    </w:p>
    <w:p w14:paraId="77A7EEC7" w14:textId="205D8ECC" w:rsidR="0034071E" w:rsidRPr="00065D93" w:rsidRDefault="0034071E"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071E">
        <w:rPr>
          <w:rFonts w:ascii="Times New Roman" w:eastAsia="Times New Roman" w:hAnsi="Times New Roman" w:cs="Times New Roman"/>
          <w:sz w:val="28"/>
          <w:szCs w:val="28"/>
          <w:lang w:eastAsia="ru-RU"/>
        </w:rPr>
        <w:t>Кроме того, с 1 января 2017 года переданы из бюджетов муниципальных районов в бюджеты сельских поселений 5% от налога на доходы физических лиц и 20% от единого сельскохозяйственного налога.</w:t>
      </w:r>
    </w:p>
    <w:p w14:paraId="3A654064" w14:textId="69525D6B" w:rsidR="0034071E" w:rsidRPr="00660265" w:rsidRDefault="00941D7F" w:rsidP="00941D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41D7F">
        <w:rPr>
          <w:rFonts w:ascii="Times New Roman" w:eastAsia="Times New Roman" w:hAnsi="Times New Roman" w:cs="Times New Roman"/>
          <w:sz w:val="28"/>
          <w:szCs w:val="28"/>
          <w:lang w:eastAsia="ru-RU"/>
        </w:rPr>
        <w:t>В отчетном периоде проведена работа по совершенствованию межбюджетных отношений в Иркутской области, в частности внесены изменения в методику р</w:t>
      </w:r>
      <w:r w:rsidR="0034071E" w:rsidRPr="00941D7F">
        <w:rPr>
          <w:rFonts w:ascii="Times New Roman" w:eastAsia="Times New Roman" w:hAnsi="Times New Roman" w:cs="Times New Roman"/>
          <w:sz w:val="28"/>
          <w:szCs w:val="28"/>
          <w:lang w:eastAsia="ru-RU"/>
        </w:rPr>
        <w:t>аспределени</w:t>
      </w:r>
      <w:r w:rsidRPr="00941D7F">
        <w:rPr>
          <w:rFonts w:ascii="Times New Roman" w:eastAsia="Times New Roman" w:hAnsi="Times New Roman" w:cs="Times New Roman"/>
          <w:sz w:val="28"/>
          <w:szCs w:val="28"/>
          <w:lang w:eastAsia="ru-RU"/>
        </w:rPr>
        <w:t>я</w:t>
      </w:r>
      <w:r w:rsidR="0034071E" w:rsidRPr="00941D7F">
        <w:rPr>
          <w:rFonts w:ascii="Times New Roman" w:eastAsia="Times New Roman" w:hAnsi="Times New Roman" w:cs="Times New Roman"/>
          <w:sz w:val="28"/>
          <w:szCs w:val="28"/>
          <w:lang w:eastAsia="ru-RU"/>
        </w:rPr>
        <w:t xml:space="preserve"> дотаций на выравнивание бюджетной обеспеченности городских и сельских поселений</w:t>
      </w:r>
      <w:r w:rsidR="0034071E" w:rsidRPr="00660265">
        <w:rPr>
          <w:rFonts w:ascii="Times New Roman" w:eastAsia="Times New Roman" w:hAnsi="Times New Roman" w:cs="Times New Roman"/>
          <w:sz w:val="28"/>
          <w:szCs w:val="28"/>
          <w:lang w:eastAsia="ru-RU"/>
        </w:rPr>
        <w:t xml:space="preserve">. </w:t>
      </w:r>
    </w:p>
    <w:p w14:paraId="5964145E" w14:textId="337A7CC2" w:rsidR="0034071E" w:rsidRDefault="00941D7F"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Одновременно</w:t>
      </w:r>
      <w:r w:rsidR="0034071E" w:rsidRPr="00660265">
        <w:rPr>
          <w:rFonts w:ascii="Times New Roman" w:eastAsia="Times New Roman" w:hAnsi="Times New Roman" w:cs="Times New Roman"/>
          <w:sz w:val="28"/>
          <w:szCs w:val="28"/>
          <w:lang w:eastAsia="ru-RU"/>
        </w:rPr>
        <w:t xml:space="preserve"> с 1 января 2017 года муниципальным районам Иркутской области предоставляется субсидия на формирование районных фондов финансовой поддержки поселений в целях выравнивания финансовых возможностей органов местного самоуправления муниципальных районов Иркутской области по осуществлению их полномочий по дополнительному выравниванию бюджетной обеспеченности городских поселений, сельских поселений</w:t>
      </w:r>
      <w:r w:rsidR="0034071E">
        <w:rPr>
          <w:rFonts w:ascii="Times New Roman" w:eastAsia="Times New Roman" w:hAnsi="Times New Roman" w:cs="Times New Roman"/>
          <w:sz w:val="28"/>
          <w:szCs w:val="28"/>
          <w:lang w:eastAsia="ru-RU"/>
        </w:rPr>
        <w:t>.</w:t>
      </w:r>
    </w:p>
    <w:p w14:paraId="7AFAEAE4" w14:textId="36DA58C7" w:rsidR="0034071E" w:rsidRDefault="00E6190A"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2017 году значительно увеличился объем расходов, направляемых на софинансирование расходов, относящихся к вопросам местного значения, что в том числе связано с </w:t>
      </w:r>
      <w:r w:rsidR="0034071E">
        <w:rPr>
          <w:rFonts w:ascii="Times New Roman" w:eastAsia="Times New Roman" w:hAnsi="Times New Roman" w:cs="Times New Roman"/>
          <w:sz w:val="28"/>
          <w:szCs w:val="28"/>
          <w:lang w:eastAsia="ru-RU"/>
        </w:rPr>
        <w:t>изменение</w:t>
      </w:r>
      <w:r>
        <w:rPr>
          <w:rFonts w:ascii="Times New Roman" w:eastAsia="Times New Roman" w:hAnsi="Times New Roman" w:cs="Times New Roman"/>
          <w:sz w:val="28"/>
          <w:szCs w:val="28"/>
          <w:lang w:eastAsia="ru-RU"/>
        </w:rPr>
        <w:t>м</w:t>
      </w:r>
      <w:r w:rsidR="0034071E">
        <w:rPr>
          <w:rFonts w:ascii="Times New Roman" w:eastAsia="Times New Roman" w:hAnsi="Times New Roman" w:cs="Times New Roman"/>
          <w:sz w:val="28"/>
          <w:szCs w:val="28"/>
          <w:lang w:eastAsia="ru-RU"/>
        </w:rPr>
        <w:t xml:space="preserve"> подходов</w:t>
      </w:r>
      <w:r>
        <w:rPr>
          <w:rFonts w:ascii="Times New Roman" w:eastAsia="Times New Roman" w:hAnsi="Times New Roman" w:cs="Times New Roman"/>
          <w:sz w:val="28"/>
          <w:szCs w:val="28"/>
          <w:lang w:eastAsia="ru-RU"/>
        </w:rPr>
        <w:t xml:space="preserve"> по </w:t>
      </w:r>
      <w:r w:rsidR="00F3600F">
        <w:rPr>
          <w:rFonts w:ascii="Times New Roman" w:eastAsia="Times New Roman" w:hAnsi="Times New Roman" w:cs="Times New Roman"/>
          <w:sz w:val="28"/>
          <w:szCs w:val="28"/>
          <w:lang w:eastAsia="ru-RU"/>
        </w:rPr>
        <w:t xml:space="preserve">предоставлению субсидий </w:t>
      </w:r>
      <w:r>
        <w:rPr>
          <w:rFonts w:ascii="Times New Roman" w:eastAsia="Times New Roman" w:hAnsi="Times New Roman" w:cs="Times New Roman"/>
          <w:sz w:val="28"/>
          <w:szCs w:val="28"/>
          <w:lang w:eastAsia="ru-RU"/>
        </w:rPr>
        <w:t>из федерального бюджета</w:t>
      </w:r>
      <w:r w:rsidR="00515BC5">
        <w:rPr>
          <w:rFonts w:ascii="Times New Roman" w:eastAsia="Times New Roman" w:hAnsi="Times New Roman" w:cs="Times New Roman"/>
          <w:sz w:val="28"/>
          <w:szCs w:val="28"/>
          <w:lang w:eastAsia="ru-RU"/>
        </w:rPr>
        <w:t xml:space="preserve">, а </w:t>
      </w:r>
      <w:r w:rsidR="00515BC5" w:rsidRPr="00515BC5">
        <w:rPr>
          <w:rFonts w:ascii="Times New Roman" w:eastAsia="Times New Roman" w:hAnsi="Times New Roman" w:cs="Times New Roman"/>
          <w:sz w:val="28"/>
          <w:szCs w:val="28"/>
          <w:lang w:eastAsia="ru-RU"/>
        </w:rPr>
        <w:t xml:space="preserve">также </w:t>
      </w:r>
      <w:r w:rsidRPr="00515BC5">
        <w:rPr>
          <w:rFonts w:ascii="Times New Roman" w:eastAsia="Times New Roman" w:hAnsi="Times New Roman" w:cs="Times New Roman"/>
          <w:sz w:val="28"/>
          <w:szCs w:val="28"/>
          <w:lang w:eastAsia="ru-RU"/>
        </w:rPr>
        <w:t xml:space="preserve">началом реализации на федеральном уровне проектов в сфере </w:t>
      </w:r>
      <w:r w:rsidR="00A652F0" w:rsidRPr="00515BC5">
        <w:rPr>
          <w:rFonts w:ascii="Times New Roman" w:eastAsia="Times New Roman" w:hAnsi="Times New Roman" w:cs="Times New Roman"/>
          <w:sz w:val="28"/>
          <w:szCs w:val="28"/>
          <w:lang w:eastAsia="ru-RU"/>
        </w:rPr>
        <w:t>формирования современной городской среды.</w:t>
      </w:r>
      <w:r w:rsidR="00A652F0" w:rsidRPr="00A652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Общий объем субсидий </w:t>
      </w:r>
      <w:r w:rsidR="003A051C">
        <w:rPr>
          <w:rFonts w:ascii="Times New Roman" w:eastAsia="Times New Roman" w:hAnsi="Times New Roman" w:cs="Times New Roman"/>
          <w:sz w:val="28"/>
          <w:szCs w:val="28"/>
          <w:lang w:eastAsia="ru-RU"/>
        </w:rPr>
        <w:t xml:space="preserve">по отношению к плановым показателям 2016 года возрос </w:t>
      </w:r>
      <w:r w:rsidR="003A051C" w:rsidRPr="006D0945">
        <w:rPr>
          <w:rFonts w:ascii="Times New Roman" w:eastAsia="Times New Roman" w:hAnsi="Times New Roman" w:cs="Times New Roman"/>
          <w:sz w:val="28"/>
          <w:szCs w:val="28"/>
          <w:lang w:eastAsia="ru-RU"/>
        </w:rPr>
        <w:t>на</w:t>
      </w:r>
      <w:r w:rsidR="00A652F0" w:rsidRPr="006D0945">
        <w:rPr>
          <w:rFonts w:ascii="Times New Roman" w:eastAsia="Times New Roman" w:hAnsi="Times New Roman" w:cs="Times New Roman"/>
          <w:sz w:val="28"/>
          <w:szCs w:val="28"/>
          <w:lang w:eastAsia="ru-RU"/>
        </w:rPr>
        <w:t xml:space="preserve"> 47 </w:t>
      </w:r>
      <w:r w:rsidR="003A051C" w:rsidRPr="006D0945">
        <w:rPr>
          <w:rFonts w:ascii="Times New Roman" w:eastAsia="Times New Roman" w:hAnsi="Times New Roman" w:cs="Times New Roman"/>
          <w:sz w:val="28"/>
          <w:szCs w:val="28"/>
          <w:lang w:eastAsia="ru-RU"/>
        </w:rPr>
        <w:t>% и составил 17,6 млрд рублей.</w:t>
      </w:r>
      <w:r w:rsidR="002C6369">
        <w:rPr>
          <w:rFonts w:ascii="Times New Roman" w:eastAsia="Times New Roman" w:hAnsi="Times New Roman" w:cs="Times New Roman"/>
          <w:sz w:val="28"/>
          <w:szCs w:val="28"/>
          <w:lang w:eastAsia="ru-RU"/>
        </w:rPr>
        <w:t xml:space="preserve"> </w:t>
      </w:r>
    </w:p>
    <w:p w14:paraId="66FBBDEC" w14:textId="1058B9C1" w:rsidR="00597AF6" w:rsidRDefault="00597AF6"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597AF6">
        <w:rPr>
          <w:rFonts w:ascii="Times New Roman" w:eastAsia="Times New Roman" w:hAnsi="Times New Roman" w:cs="Times New Roman"/>
          <w:sz w:val="28"/>
          <w:szCs w:val="28"/>
          <w:lang w:eastAsia="ru-RU"/>
        </w:rPr>
        <w:t xml:space="preserve"> целях ускорения социально-экономического развития поселений и повышения уровня жизни проживающего в них населения </w:t>
      </w:r>
      <w:r>
        <w:rPr>
          <w:rFonts w:ascii="Times New Roman" w:eastAsia="Times New Roman" w:hAnsi="Times New Roman" w:cs="Times New Roman"/>
          <w:sz w:val="28"/>
          <w:szCs w:val="28"/>
          <w:lang w:eastAsia="ru-RU"/>
        </w:rPr>
        <w:t>2017 году продолжена работа по укрупнению муниципальных образований области: произведено объединение</w:t>
      </w:r>
      <w:r w:rsidRPr="00597AF6">
        <w:rPr>
          <w:rFonts w:ascii="Times New Roman" w:eastAsia="Times New Roman" w:hAnsi="Times New Roman" w:cs="Times New Roman"/>
          <w:sz w:val="28"/>
          <w:szCs w:val="28"/>
          <w:lang w:eastAsia="ru-RU"/>
        </w:rPr>
        <w:t xml:space="preserve"> </w:t>
      </w:r>
      <w:proofErr w:type="spellStart"/>
      <w:r w:rsidRPr="00597AF6">
        <w:rPr>
          <w:rFonts w:ascii="Times New Roman" w:eastAsia="Times New Roman" w:hAnsi="Times New Roman" w:cs="Times New Roman"/>
          <w:sz w:val="28"/>
          <w:szCs w:val="28"/>
          <w:lang w:eastAsia="ru-RU"/>
        </w:rPr>
        <w:t>Белореченского</w:t>
      </w:r>
      <w:proofErr w:type="spellEnd"/>
      <w:r w:rsidRPr="00597AF6">
        <w:rPr>
          <w:rFonts w:ascii="Times New Roman" w:eastAsia="Times New Roman" w:hAnsi="Times New Roman" w:cs="Times New Roman"/>
          <w:sz w:val="28"/>
          <w:szCs w:val="28"/>
          <w:lang w:eastAsia="ru-RU"/>
        </w:rPr>
        <w:t xml:space="preserve"> и </w:t>
      </w:r>
      <w:proofErr w:type="spellStart"/>
      <w:r w:rsidRPr="00597AF6">
        <w:rPr>
          <w:rFonts w:ascii="Times New Roman" w:eastAsia="Times New Roman" w:hAnsi="Times New Roman" w:cs="Times New Roman"/>
          <w:sz w:val="28"/>
          <w:szCs w:val="28"/>
          <w:lang w:eastAsia="ru-RU"/>
        </w:rPr>
        <w:t>Мальтинского</w:t>
      </w:r>
      <w:proofErr w:type="spellEnd"/>
      <w:r w:rsidRPr="00597AF6">
        <w:rPr>
          <w:rFonts w:ascii="Times New Roman" w:eastAsia="Times New Roman" w:hAnsi="Times New Roman" w:cs="Times New Roman"/>
          <w:sz w:val="28"/>
          <w:szCs w:val="28"/>
          <w:lang w:eastAsia="ru-RU"/>
        </w:rPr>
        <w:t xml:space="preserve"> муниципальных образований Усольского района, Тарасовского и </w:t>
      </w:r>
      <w:proofErr w:type="spellStart"/>
      <w:r w:rsidRPr="00597AF6">
        <w:rPr>
          <w:rFonts w:ascii="Times New Roman" w:eastAsia="Times New Roman" w:hAnsi="Times New Roman" w:cs="Times New Roman"/>
          <w:sz w:val="28"/>
          <w:szCs w:val="28"/>
          <w:lang w:eastAsia="ru-RU"/>
        </w:rPr>
        <w:t>Ульканского</w:t>
      </w:r>
      <w:proofErr w:type="spellEnd"/>
      <w:r w:rsidRPr="00597AF6">
        <w:rPr>
          <w:rFonts w:ascii="Times New Roman" w:eastAsia="Times New Roman" w:hAnsi="Times New Roman" w:cs="Times New Roman"/>
          <w:sz w:val="28"/>
          <w:szCs w:val="28"/>
          <w:lang w:eastAsia="ru-RU"/>
        </w:rPr>
        <w:t xml:space="preserve"> муниципальных образований </w:t>
      </w:r>
      <w:proofErr w:type="spellStart"/>
      <w:r w:rsidRPr="00597AF6">
        <w:rPr>
          <w:rFonts w:ascii="Times New Roman" w:eastAsia="Times New Roman" w:hAnsi="Times New Roman" w:cs="Times New Roman"/>
          <w:sz w:val="28"/>
          <w:szCs w:val="28"/>
          <w:lang w:eastAsia="ru-RU"/>
        </w:rPr>
        <w:t>Казачинско</w:t>
      </w:r>
      <w:proofErr w:type="spellEnd"/>
      <w:r w:rsidRPr="00597AF6">
        <w:rPr>
          <w:rFonts w:ascii="Times New Roman" w:eastAsia="Times New Roman" w:hAnsi="Times New Roman" w:cs="Times New Roman"/>
          <w:sz w:val="28"/>
          <w:szCs w:val="28"/>
          <w:lang w:eastAsia="ru-RU"/>
        </w:rPr>
        <w:t xml:space="preserve"> – Ленского района</w:t>
      </w:r>
      <w:r>
        <w:rPr>
          <w:rFonts w:ascii="Times New Roman" w:eastAsia="Times New Roman" w:hAnsi="Times New Roman" w:cs="Times New Roman"/>
          <w:sz w:val="28"/>
          <w:szCs w:val="28"/>
          <w:lang w:eastAsia="ru-RU"/>
        </w:rPr>
        <w:t>.</w:t>
      </w:r>
    </w:p>
    <w:p w14:paraId="517F1F8C" w14:textId="27B6C10F" w:rsidR="002C3CA8" w:rsidRPr="002C3CA8" w:rsidRDefault="002C3CA8"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Особое внимание в 2017 году уделено вопросам эффективного </w:t>
      </w:r>
      <w:r w:rsidR="002716CD">
        <w:rPr>
          <w:rFonts w:ascii="Times New Roman" w:eastAsia="Times New Roman" w:hAnsi="Times New Roman" w:cs="Times New Roman"/>
          <w:sz w:val="28"/>
          <w:szCs w:val="28"/>
          <w:lang w:eastAsia="ru-RU"/>
        </w:rPr>
        <w:t xml:space="preserve">и своевременного </w:t>
      </w:r>
      <w:r>
        <w:rPr>
          <w:rFonts w:ascii="Times New Roman" w:eastAsia="Times New Roman" w:hAnsi="Times New Roman" w:cs="Times New Roman"/>
          <w:sz w:val="28"/>
          <w:szCs w:val="28"/>
          <w:lang w:eastAsia="ru-RU"/>
        </w:rPr>
        <w:t>использования запланированных бюджетных ассигнований:</w:t>
      </w:r>
    </w:p>
    <w:p w14:paraId="5B6340E4" w14:textId="1AEC6632" w:rsidR="00813E86" w:rsidRDefault="005263BD"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3E86">
        <w:rPr>
          <w:rFonts w:ascii="Times New Roman" w:eastAsia="Times New Roman" w:hAnsi="Times New Roman" w:cs="Times New Roman"/>
          <w:sz w:val="28"/>
          <w:szCs w:val="28"/>
          <w:lang w:eastAsia="ru-RU"/>
        </w:rPr>
        <w:t>законодательно закреплены нормы о предельных сроках распределения исполнительными органами государственной власти области межбюджетных субсидий и заключения соглашений о предоставлении субсидий с органами местного самоуправления;</w:t>
      </w:r>
    </w:p>
    <w:p w14:paraId="064B2DC3" w14:textId="0F053F26" w:rsidR="00FD5038" w:rsidRPr="00FD5038" w:rsidRDefault="00FD5038" w:rsidP="005B03B9">
      <w:pPr>
        <w:spacing w:after="0" w:line="240" w:lineRule="auto"/>
        <w:ind w:firstLine="709"/>
        <w:jc w:val="both"/>
        <w:rPr>
          <w:rFonts w:ascii="Times New Roman" w:eastAsia="Times New Roman" w:hAnsi="Times New Roman" w:cs="Times New Roman"/>
          <w:sz w:val="28"/>
          <w:szCs w:val="28"/>
          <w:lang w:eastAsia="ru-RU"/>
        </w:rPr>
      </w:pPr>
      <w:r w:rsidRPr="00FD50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принято решение о перечислении субсидий в местные бюджеты в размере пропорционально уровню софинансирования</w:t>
      </w:r>
      <w:r w:rsidR="00915F5B">
        <w:rPr>
          <w:rFonts w:ascii="Times New Roman" w:eastAsia="Times New Roman" w:hAnsi="Times New Roman" w:cs="Times New Roman"/>
          <w:sz w:val="28"/>
          <w:szCs w:val="28"/>
          <w:lang w:eastAsia="ru-RU"/>
        </w:rPr>
        <w:t>, что</w:t>
      </w:r>
      <w:r w:rsidR="00915F5B" w:rsidRPr="00915F5B">
        <w:t xml:space="preserve"> </w:t>
      </w:r>
      <w:r w:rsidR="00915F5B" w:rsidRPr="00915F5B">
        <w:rPr>
          <w:rFonts w:ascii="Times New Roman" w:eastAsia="Times New Roman" w:hAnsi="Times New Roman" w:cs="Times New Roman"/>
          <w:sz w:val="28"/>
          <w:szCs w:val="28"/>
          <w:lang w:eastAsia="ru-RU"/>
        </w:rPr>
        <w:t>позвол</w:t>
      </w:r>
      <w:r w:rsidR="00915F5B">
        <w:rPr>
          <w:rFonts w:ascii="Times New Roman" w:eastAsia="Times New Roman" w:hAnsi="Times New Roman" w:cs="Times New Roman"/>
          <w:sz w:val="28"/>
          <w:szCs w:val="28"/>
          <w:lang w:eastAsia="ru-RU"/>
        </w:rPr>
        <w:t>яет</w:t>
      </w:r>
      <w:r w:rsidR="00915F5B" w:rsidRPr="00915F5B">
        <w:rPr>
          <w:rFonts w:ascii="Times New Roman" w:eastAsia="Times New Roman" w:hAnsi="Times New Roman" w:cs="Times New Roman"/>
          <w:sz w:val="28"/>
          <w:szCs w:val="28"/>
          <w:lang w:eastAsia="ru-RU"/>
        </w:rPr>
        <w:t xml:space="preserve"> исключить риски невыполнения условий софинансирования</w:t>
      </w:r>
      <w:r w:rsidR="00915F5B">
        <w:rPr>
          <w:rFonts w:ascii="Times New Roman" w:eastAsia="Times New Roman" w:hAnsi="Times New Roman" w:cs="Times New Roman"/>
          <w:sz w:val="28"/>
          <w:szCs w:val="28"/>
          <w:lang w:eastAsia="ru-RU"/>
        </w:rPr>
        <w:t xml:space="preserve"> </w:t>
      </w:r>
      <w:r w:rsidR="00515BC5">
        <w:rPr>
          <w:rFonts w:ascii="Times New Roman" w:eastAsia="Times New Roman" w:hAnsi="Times New Roman" w:cs="Times New Roman"/>
          <w:sz w:val="28"/>
          <w:szCs w:val="28"/>
          <w:lang w:eastAsia="ru-RU"/>
        </w:rPr>
        <w:t>с</w:t>
      </w:r>
      <w:r w:rsidR="00915F5B">
        <w:rPr>
          <w:rFonts w:ascii="Times New Roman" w:eastAsia="Times New Roman" w:hAnsi="Times New Roman" w:cs="Times New Roman"/>
          <w:sz w:val="28"/>
          <w:szCs w:val="28"/>
          <w:lang w:eastAsia="ru-RU"/>
        </w:rPr>
        <w:t>о стороны органов местного самоуправления</w:t>
      </w:r>
      <w:r>
        <w:rPr>
          <w:rFonts w:ascii="Times New Roman" w:eastAsia="Times New Roman" w:hAnsi="Times New Roman" w:cs="Times New Roman"/>
          <w:sz w:val="28"/>
          <w:szCs w:val="28"/>
          <w:lang w:eastAsia="ru-RU"/>
        </w:rPr>
        <w:t>;</w:t>
      </w:r>
    </w:p>
    <w:p w14:paraId="33FFCD54" w14:textId="66D77513" w:rsidR="00FD5038" w:rsidRDefault="00813E86"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установлен</w:t>
      </w:r>
      <w:r w:rsidR="00915F5B">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w:t>
      </w:r>
      <w:r w:rsidRPr="002C3CA8">
        <w:rPr>
          <w:rFonts w:ascii="Times New Roman" w:eastAsia="Times New Roman" w:hAnsi="Times New Roman" w:cs="Times New Roman"/>
          <w:sz w:val="28"/>
          <w:szCs w:val="28"/>
          <w:lang w:eastAsia="ru-RU"/>
        </w:rPr>
        <w:t>правовы</w:t>
      </w:r>
      <w:r w:rsidR="00915F5B">
        <w:rPr>
          <w:rFonts w:ascii="Times New Roman" w:eastAsia="Times New Roman" w:hAnsi="Times New Roman" w:cs="Times New Roman"/>
          <w:sz w:val="28"/>
          <w:szCs w:val="28"/>
          <w:lang w:eastAsia="ru-RU"/>
        </w:rPr>
        <w:t>е</w:t>
      </w:r>
      <w:r w:rsidRPr="002C3CA8">
        <w:rPr>
          <w:rFonts w:ascii="Times New Roman" w:eastAsia="Times New Roman" w:hAnsi="Times New Roman" w:cs="Times New Roman"/>
          <w:sz w:val="28"/>
          <w:szCs w:val="28"/>
          <w:lang w:eastAsia="ru-RU"/>
        </w:rPr>
        <w:t xml:space="preserve"> основ</w:t>
      </w:r>
      <w:r w:rsidR="00915F5B">
        <w:rPr>
          <w:rFonts w:ascii="Times New Roman" w:eastAsia="Times New Roman" w:hAnsi="Times New Roman" w:cs="Times New Roman"/>
          <w:sz w:val="28"/>
          <w:szCs w:val="28"/>
          <w:lang w:eastAsia="ru-RU"/>
        </w:rPr>
        <w:t>ы</w:t>
      </w:r>
      <w:r w:rsidRPr="002C3CA8">
        <w:rPr>
          <w:rFonts w:ascii="Times New Roman" w:eastAsia="Times New Roman" w:hAnsi="Times New Roman" w:cs="Times New Roman"/>
          <w:sz w:val="28"/>
          <w:szCs w:val="28"/>
          <w:lang w:eastAsia="ru-RU"/>
        </w:rPr>
        <w:t xml:space="preserve"> возврата в областной бюджет субсидий, предоставленных государственным бюджетным и автономным учреждениям на выполнение государственного задания, в случае, если государственное задание не выполнено в отчетном периоде</w:t>
      </w:r>
      <w:r>
        <w:rPr>
          <w:rFonts w:ascii="Times New Roman" w:eastAsia="Times New Roman" w:hAnsi="Times New Roman" w:cs="Times New Roman"/>
          <w:sz w:val="28"/>
          <w:szCs w:val="28"/>
          <w:lang w:eastAsia="ru-RU"/>
        </w:rPr>
        <w:t>;</w:t>
      </w:r>
    </w:p>
    <w:p w14:paraId="14EA2A49" w14:textId="6F7CF284" w:rsidR="002C3CA8" w:rsidRPr="002C3CA8" w:rsidRDefault="00813E86"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5F5B">
        <w:rPr>
          <w:rFonts w:ascii="Times New Roman" w:eastAsia="Times New Roman" w:hAnsi="Times New Roman" w:cs="Times New Roman"/>
          <w:sz w:val="28"/>
          <w:szCs w:val="28"/>
          <w:lang w:eastAsia="ru-RU"/>
        </w:rPr>
        <w:t xml:space="preserve">в течение года </w:t>
      </w:r>
      <w:r w:rsidR="005263BD">
        <w:rPr>
          <w:rFonts w:ascii="Times New Roman" w:eastAsia="Times New Roman" w:hAnsi="Times New Roman" w:cs="Times New Roman"/>
          <w:sz w:val="28"/>
          <w:szCs w:val="28"/>
          <w:lang w:eastAsia="ru-RU"/>
        </w:rPr>
        <w:t>пров</w:t>
      </w:r>
      <w:r w:rsidR="00915F5B">
        <w:rPr>
          <w:rFonts w:ascii="Times New Roman" w:eastAsia="Times New Roman" w:hAnsi="Times New Roman" w:cs="Times New Roman"/>
          <w:sz w:val="28"/>
          <w:szCs w:val="28"/>
          <w:lang w:eastAsia="ru-RU"/>
        </w:rPr>
        <w:t xml:space="preserve">одились мероприятия </w:t>
      </w:r>
      <w:r w:rsidR="002C3CA8" w:rsidRPr="002C3CA8">
        <w:rPr>
          <w:rFonts w:ascii="Times New Roman" w:eastAsia="Times New Roman" w:hAnsi="Times New Roman" w:cs="Times New Roman"/>
          <w:sz w:val="28"/>
          <w:szCs w:val="28"/>
          <w:lang w:eastAsia="ru-RU"/>
        </w:rPr>
        <w:t xml:space="preserve">по сокращению неэффективных расходов и бюджетных ассигнований, не относящихся к первоочередным, </w:t>
      </w:r>
      <w:r w:rsidR="00915F5B">
        <w:rPr>
          <w:rFonts w:ascii="Times New Roman" w:eastAsia="Times New Roman" w:hAnsi="Times New Roman" w:cs="Times New Roman"/>
          <w:sz w:val="28"/>
          <w:szCs w:val="28"/>
          <w:lang w:eastAsia="ru-RU"/>
        </w:rPr>
        <w:t xml:space="preserve">перераспределению расходов </w:t>
      </w:r>
      <w:r w:rsidR="00915F5B" w:rsidRPr="002C3CA8">
        <w:rPr>
          <w:rFonts w:ascii="Times New Roman" w:eastAsia="Times New Roman" w:hAnsi="Times New Roman" w:cs="Times New Roman"/>
          <w:sz w:val="28"/>
          <w:szCs w:val="28"/>
          <w:lang w:eastAsia="ru-RU"/>
        </w:rPr>
        <w:t xml:space="preserve">на </w:t>
      </w:r>
      <w:r w:rsidR="00915F5B">
        <w:rPr>
          <w:rFonts w:ascii="Times New Roman" w:eastAsia="Times New Roman" w:hAnsi="Times New Roman" w:cs="Times New Roman"/>
          <w:sz w:val="28"/>
          <w:szCs w:val="28"/>
          <w:lang w:eastAsia="ru-RU"/>
        </w:rPr>
        <w:t xml:space="preserve">реализацию </w:t>
      </w:r>
      <w:r w:rsidR="00915F5B" w:rsidRPr="002C3CA8">
        <w:rPr>
          <w:rFonts w:ascii="Times New Roman" w:eastAsia="Times New Roman" w:hAnsi="Times New Roman" w:cs="Times New Roman"/>
          <w:sz w:val="28"/>
          <w:szCs w:val="28"/>
          <w:lang w:eastAsia="ru-RU"/>
        </w:rPr>
        <w:t>приоритетных направлени</w:t>
      </w:r>
      <w:r w:rsidR="00915F5B">
        <w:rPr>
          <w:rFonts w:ascii="Times New Roman" w:eastAsia="Times New Roman" w:hAnsi="Times New Roman" w:cs="Times New Roman"/>
          <w:sz w:val="28"/>
          <w:szCs w:val="28"/>
          <w:lang w:eastAsia="ru-RU"/>
        </w:rPr>
        <w:t>й социального и экономического развития</w:t>
      </w:r>
      <w:r w:rsidR="005263BD">
        <w:rPr>
          <w:rFonts w:ascii="Times New Roman" w:eastAsia="Times New Roman" w:hAnsi="Times New Roman" w:cs="Times New Roman"/>
          <w:sz w:val="28"/>
          <w:szCs w:val="28"/>
          <w:lang w:eastAsia="ru-RU"/>
        </w:rPr>
        <w:t>;</w:t>
      </w:r>
    </w:p>
    <w:p w14:paraId="744F51A1" w14:textId="026C6C87" w:rsidR="005263BD" w:rsidRDefault="005263BD"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практик</w:t>
      </w:r>
      <w:r w:rsidR="00915F5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использования механизма </w:t>
      </w:r>
      <w:r w:rsidRPr="002C3CA8">
        <w:rPr>
          <w:rFonts w:ascii="Times New Roman" w:eastAsia="Times New Roman" w:hAnsi="Times New Roman" w:cs="Times New Roman"/>
          <w:sz w:val="28"/>
          <w:szCs w:val="28"/>
          <w:lang w:eastAsia="ru-RU"/>
        </w:rPr>
        <w:t>перечисления субсидий местным бюджетам в пределах суммы, необходимой для оплаты денежных обязательств по расходам получателей средств местного бюджета</w:t>
      </w:r>
      <w:r>
        <w:rPr>
          <w:rFonts w:ascii="Times New Roman" w:eastAsia="Times New Roman" w:hAnsi="Times New Roman" w:cs="Times New Roman"/>
          <w:sz w:val="28"/>
          <w:szCs w:val="28"/>
          <w:lang w:eastAsia="ru-RU"/>
        </w:rPr>
        <w:t xml:space="preserve">, </w:t>
      </w:r>
      <w:r w:rsidR="00915F5B">
        <w:rPr>
          <w:rFonts w:ascii="Times New Roman" w:eastAsia="Times New Roman" w:hAnsi="Times New Roman" w:cs="Times New Roman"/>
          <w:sz w:val="28"/>
          <w:szCs w:val="28"/>
          <w:lang w:eastAsia="ru-RU"/>
        </w:rPr>
        <w:t xml:space="preserve">распространена </w:t>
      </w:r>
      <w:r>
        <w:rPr>
          <w:rFonts w:ascii="Times New Roman" w:eastAsia="Times New Roman" w:hAnsi="Times New Roman" w:cs="Times New Roman"/>
          <w:sz w:val="28"/>
          <w:szCs w:val="28"/>
          <w:lang w:eastAsia="ru-RU"/>
        </w:rPr>
        <w:t>практически на</w:t>
      </w:r>
      <w:r w:rsidRPr="002C3C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все виды предоставляемых субсидий</w:t>
      </w:r>
      <w:r w:rsidR="00915F5B">
        <w:rPr>
          <w:rFonts w:ascii="Times New Roman" w:eastAsia="Times New Roman" w:hAnsi="Times New Roman" w:cs="Times New Roman"/>
          <w:sz w:val="28"/>
          <w:szCs w:val="28"/>
          <w:lang w:eastAsia="ru-RU"/>
        </w:rPr>
        <w:t xml:space="preserve">. По итогам 2016 года использование данного механизма </w:t>
      </w:r>
      <w:r w:rsidR="00915F5B" w:rsidRPr="00915F5B">
        <w:rPr>
          <w:rFonts w:ascii="Times New Roman" w:eastAsia="Times New Roman" w:hAnsi="Times New Roman" w:cs="Times New Roman"/>
          <w:sz w:val="28"/>
          <w:szCs w:val="28"/>
          <w:lang w:eastAsia="ru-RU"/>
        </w:rPr>
        <w:t>позволило предотвратить</w:t>
      </w:r>
      <w:r w:rsidR="00915F5B">
        <w:rPr>
          <w:rFonts w:ascii="Times New Roman" w:eastAsia="Times New Roman" w:hAnsi="Times New Roman" w:cs="Times New Roman"/>
          <w:sz w:val="28"/>
          <w:szCs w:val="28"/>
          <w:lang w:eastAsia="ru-RU"/>
        </w:rPr>
        <w:t xml:space="preserve"> неэффективное использование средств областного бюджета </w:t>
      </w:r>
      <w:r w:rsidR="00E72055">
        <w:rPr>
          <w:rFonts w:ascii="Times New Roman" w:eastAsia="Times New Roman" w:hAnsi="Times New Roman" w:cs="Times New Roman"/>
          <w:sz w:val="28"/>
          <w:szCs w:val="28"/>
          <w:lang w:eastAsia="ru-RU"/>
        </w:rPr>
        <w:t>и</w:t>
      </w:r>
      <w:r w:rsidR="00915F5B" w:rsidRPr="00915F5B">
        <w:rPr>
          <w:rFonts w:ascii="Times New Roman" w:eastAsia="Times New Roman" w:hAnsi="Times New Roman" w:cs="Times New Roman"/>
          <w:sz w:val="28"/>
          <w:szCs w:val="28"/>
          <w:lang w:eastAsia="ru-RU"/>
        </w:rPr>
        <w:t xml:space="preserve"> образование остатков на счетах местных бюджетов </w:t>
      </w:r>
      <w:r w:rsidR="00915F5B">
        <w:rPr>
          <w:rFonts w:ascii="Times New Roman" w:eastAsia="Times New Roman" w:hAnsi="Times New Roman" w:cs="Times New Roman"/>
          <w:sz w:val="28"/>
          <w:szCs w:val="28"/>
          <w:lang w:eastAsia="ru-RU"/>
        </w:rPr>
        <w:t xml:space="preserve">в объеме порядка </w:t>
      </w:r>
      <w:r w:rsidR="003C7C85">
        <w:rPr>
          <w:rFonts w:ascii="Times New Roman" w:eastAsia="Times New Roman" w:hAnsi="Times New Roman" w:cs="Times New Roman"/>
          <w:sz w:val="28"/>
          <w:szCs w:val="28"/>
          <w:lang w:eastAsia="ru-RU"/>
        </w:rPr>
        <w:t>700 млн</w:t>
      </w:r>
      <w:r w:rsidR="00915F5B" w:rsidRPr="00915F5B">
        <w:rPr>
          <w:rFonts w:ascii="Times New Roman" w:eastAsia="Times New Roman" w:hAnsi="Times New Roman" w:cs="Times New Roman"/>
          <w:sz w:val="28"/>
          <w:szCs w:val="28"/>
          <w:lang w:eastAsia="ru-RU"/>
        </w:rPr>
        <w:t xml:space="preserve"> рублей</w:t>
      </w:r>
      <w:r>
        <w:rPr>
          <w:rFonts w:ascii="Times New Roman" w:eastAsia="Times New Roman" w:hAnsi="Times New Roman" w:cs="Times New Roman"/>
          <w:sz w:val="28"/>
          <w:szCs w:val="28"/>
          <w:lang w:eastAsia="ru-RU"/>
        </w:rPr>
        <w:t>;</w:t>
      </w:r>
    </w:p>
    <w:p w14:paraId="509B5138" w14:textId="2AA78F57" w:rsidR="00813E86" w:rsidRDefault="00813E86"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2055">
        <w:rPr>
          <w:rFonts w:ascii="Times New Roman" w:eastAsia="Times New Roman" w:hAnsi="Times New Roman" w:cs="Times New Roman"/>
          <w:sz w:val="28"/>
          <w:szCs w:val="28"/>
          <w:lang w:eastAsia="ru-RU"/>
        </w:rPr>
        <w:t xml:space="preserve">на законодательной основе </w:t>
      </w:r>
      <w:r>
        <w:rPr>
          <w:rFonts w:ascii="Times New Roman" w:eastAsia="Times New Roman" w:hAnsi="Times New Roman" w:cs="Times New Roman"/>
          <w:sz w:val="28"/>
          <w:szCs w:val="28"/>
          <w:lang w:eastAsia="ru-RU"/>
        </w:rPr>
        <w:t>закреплен</w:t>
      </w:r>
      <w:r w:rsidR="00E72055">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норм</w:t>
      </w:r>
      <w:r w:rsidR="00E72055">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о своевременном использовании бюджетных ассигнований, предусмотренных на проведение капитального ремонта зданий и осуществление бюджетных инвестиций;</w:t>
      </w:r>
    </w:p>
    <w:p w14:paraId="3C79D094" w14:textId="1394CEF6" w:rsidR="002716CD" w:rsidRDefault="00813E86"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2055">
        <w:rPr>
          <w:rFonts w:ascii="Times New Roman" w:eastAsia="Times New Roman" w:hAnsi="Times New Roman" w:cs="Times New Roman"/>
          <w:sz w:val="28"/>
          <w:szCs w:val="28"/>
          <w:lang w:eastAsia="ru-RU"/>
        </w:rPr>
        <w:t xml:space="preserve">проведены мероприятия </w:t>
      </w:r>
      <w:r>
        <w:rPr>
          <w:rFonts w:ascii="Times New Roman" w:eastAsia="Times New Roman" w:hAnsi="Times New Roman" w:cs="Times New Roman"/>
          <w:sz w:val="28"/>
          <w:szCs w:val="28"/>
          <w:lang w:eastAsia="ru-RU"/>
        </w:rPr>
        <w:t xml:space="preserve">по </w:t>
      </w:r>
      <w:r w:rsidR="002716CD">
        <w:rPr>
          <w:rFonts w:ascii="Times New Roman" w:eastAsia="Times New Roman" w:hAnsi="Times New Roman" w:cs="Times New Roman"/>
          <w:sz w:val="28"/>
          <w:szCs w:val="28"/>
          <w:lang w:eastAsia="ru-RU"/>
        </w:rPr>
        <w:t xml:space="preserve">интеграции процесса среднесрочного планирования закупок в соответствии с </w:t>
      </w:r>
      <w:r w:rsidR="002716CD" w:rsidRPr="002716CD">
        <w:rPr>
          <w:rFonts w:ascii="Times New Roman" w:eastAsia="Times New Roman" w:hAnsi="Times New Roman" w:cs="Times New Roman"/>
          <w:sz w:val="28"/>
          <w:szCs w:val="28"/>
          <w:lang w:eastAsia="ru-RU"/>
        </w:rPr>
        <w:t>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r w:rsidR="002716CD">
        <w:rPr>
          <w:rFonts w:ascii="Times New Roman" w:eastAsia="Times New Roman" w:hAnsi="Times New Roman" w:cs="Times New Roman"/>
          <w:sz w:val="28"/>
          <w:szCs w:val="28"/>
          <w:lang w:eastAsia="ru-RU"/>
        </w:rPr>
        <w:t xml:space="preserve"> и процесса планирования областного бюджета, что обеспечивает предварительный контроль наличия бюджетных средств для осуществления закупок</w:t>
      </w:r>
      <w:r w:rsidR="00A02E4B">
        <w:rPr>
          <w:rFonts w:ascii="Times New Roman" w:eastAsia="Times New Roman" w:hAnsi="Times New Roman" w:cs="Times New Roman"/>
          <w:sz w:val="28"/>
          <w:szCs w:val="28"/>
          <w:lang w:eastAsia="ru-RU"/>
        </w:rPr>
        <w:t>;</w:t>
      </w:r>
    </w:p>
    <w:p w14:paraId="45E23EEC" w14:textId="51DE1674" w:rsidR="00A02E4B" w:rsidRDefault="00A02E4B" w:rsidP="005B03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утверждена типовая форма соглашения о предоставлении субсидий юридическим лицам, а также введены основания для заключения долгосрочных соглашений о предоставлении субсидий юридическим лицам </w:t>
      </w:r>
      <w:r w:rsidR="006B3D3B">
        <w:rPr>
          <w:rFonts w:ascii="Times New Roman" w:eastAsia="Times New Roman" w:hAnsi="Times New Roman" w:cs="Times New Roman"/>
          <w:sz w:val="28"/>
          <w:szCs w:val="28"/>
          <w:lang w:eastAsia="ru-RU"/>
        </w:rPr>
        <w:t>на инвестиционные цели.</w:t>
      </w:r>
    </w:p>
    <w:p w14:paraId="443EBE7E" w14:textId="77777777" w:rsidR="002B0AE3" w:rsidRPr="002B0AE3" w:rsidRDefault="002B0AE3" w:rsidP="002B0AE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B0AE3">
        <w:rPr>
          <w:rFonts w:ascii="Times New Roman" w:eastAsia="Times New Roman" w:hAnsi="Times New Roman" w:cs="Times New Roman"/>
          <w:sz w:val="28"/>
          <w:szCs w:val="28"/>
          <w:lang w:eastAsia="ru-RU"/>
        </w:rPr>
        <w:t>Продолжается формирование региональной информационной системы «Электронный бюджет», к базовым сегментам которой наряду с подсистемами автоматизации процесса управления государственными закупками, бюджетного планирования и казначейского исполнения бюджета, относятся построенные на основе облачных технологий и платформы «1С:Предприятие 8» функциональные подсистемы: бухгалтерский (бюджетный) учет, расчет и начисление заработной платы, управление кадрами и консолидация регламентированной и управленческой отчетности.</w:t>
      </w:r>
    </w:p>
    <w:p w14:paraId="1D24BE3F" w14:textId="700193AA" w:rsidR="002B0AE3" w:rsidRDefault="002B0AE3"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B0AE3">
        <w:rPr>
          <w:rFonts w:ascii="Times New Roman" w:eastAsia="Times New Roman" w:hAnsi="Times New Roman" w:cs="Times New Roman"/>
          <w:sz w:val="28"/>
          <w:szCs w:val="28"/>
          <w:lang w:eastAsia="ru-RU"/>
        </w:rPr>
        <w:t>Созданная в 2016 году единая централизованная автоматизированная информационная система управления финансов-хозяйственной деятельностью исполнительных органов государственной власти Иркутской области и государственных учреждений региона позволяет не только формировать достоверную консолидированную отчетность на основе фактических данных бюджетного (бухгалтерского) учета в учреждениях, но и предоставляет учредителю инструмент для полноценного осуществления на системной и регулярной основе мониторинга и оценки рисков деятельности подведомственных организаций.</w:t>
      </w:r>
    </w:p>
    <w:p w14:paraId="40AA9279" w14:textId="11C3BC8A" w:rsidR="00E95D4D" w:rsidRDefault="00E95D4D"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95D4D">
        <w:rPr>
          <w:rFonts w:ascii="Times New Roman" w:eastAsia="Times New Roman" w:hAnsi="Times New Roman" w:cs="Times New Roman"/>
          <w:sz w:val="28"/>
          <w:szCs w:val="28"/>
          <w:lang w:eastAsia="ru-RU"/>
        </w:rPr>
        <w:t>Существенное значение для эффективного управления государственными финансами имеет вовлечение граждан в бюджетный процесс и обеспечение общественного контроля за расходованием бюджетных средств.</w:t>
      </w:r>
    </w:p>
    <w:p w14:paraId="6F0E16F3" w14:textId="77777777" w:rsidR="00E95D4D" w:rsidRDefault="00E95D4D"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95D4D">
        <w:rPr>
          <w:rFonts w:ascii="Times New Roman" w:eastAsia="Times New Roman" w:hAnsi="Times New Roman" w:cs="Times New Roman"/>
          <w:sz w:val="28"/>
          <w:szCs w:val="28"/>
          <w:lang w:eastAsia="ru-RU"/>
        </w:rPr>
        <w:t xml:space="preserve">Главным каналом распространения сведений об общественных финансах </w:t>
      </w:r>
      <w:r>
        <w:rPr>
          <w:rFonts w:ascii="Times New Roman" w:eastAsia="Times New Roman" w:hAnsi="Times New Roman" w:cs="Times New Roman"/>
          <w:sz w:val="28"/>
          <w:szCs w:val="28"/>
          <w:lang w:eastAsia="ru-RU"/>
        </w:rPr>
        <w:t>региона</w:t>
      </w:r>
      <w:r w:rsidRPr="00E95D4D">
        <w:rPr>
          <w:rFonts w:ascii="Times New Roman" w:eastAsia="Times New Roman" w:hAnsi="Times New Roman" w:cs="Times New Roman"/>
          <w:sz w:val="28"/>
          <w:szCs w:val="28"/>
          <w:lang w:eastAsia="ru-RU"/>
        </w:rPr>
        <w:t xml:space="preserve"> в сети Интернет выступа</w:t>
      </w:r>
      <w:r>
        <w:rPr>
          <w:rFonts w:ascii="Times New Roman" w:eastAsia="Times New Roman" w:hAnsi="Times New Roman" w:cs="Times New Roman"/>
          <w:sz w:val="28"/>
          <w:szCs w:val="28"/>
          <w:lang w:eastAsia="ru-RU"/>
        </w:rPr>
        <w:t>ет</w:t>
      </w:r>
      <w:r w:rsidRPr="00E95D4D">
        <w:rPr>
          <w:rFonts w:ascii="Times New Roman" w:eastAsia="Times New Roman" w:hAnsi="Times New Roman" w:cs="Times New Roman"/>
          <w:sz w:val="28"/>
          <w:szCs w:val="28"/>
          <w:lang w:eastAsia="ru-RU"/>
        </w:rPr>
        <w:t xml:space="preserve"> официальный портал «Открытый бюджет Иркутской области», обеспечивающий актуальность всех основных сведений о бюджете Иркутской области и его исполнении</w:t>
      </w:r>
      <w:r>
        <w:rPr>
          <w:rFonts w:ascii="Times New Roman" w:eastAsia="Times New Roman" w:hAnsi="Times New Roman" w:cs="Times New Roman"/>
          <w:sz w:val="28"/>
          <w:szCs w:val="28"/>
          <w:lang w:eastAsia="ru-RU"/>
        </w:rPr>
        <w:t xml:space="preserve">, </w:t>
      </w:r>
      <w:r w:rsidRPr="00E95D4D">
        <w:rPr>
          <w:rFonts w:ascii="Times New Roman" w:eastAsia="Times New Roman" w:hAnsi="Times New Roman" w:cs="Times New Roman"/>
          <w:sz w:val="28"/>
          <w:szCs w:val="28"/>
          <w:lang w:eastAsia="ru-RU"/>
        </w:rPr>
        <w:t>а также представление бюджетных данных для всех заинтересованных пользователей в понятной и доступной форме</w:t>
      </w:r>
      <w:r>
        <w:rPr>
          <w:rFonts w:ascii="Times New Roman" w:eastAsia="Times New Roman" w:hAnsi="Times New Roman" w:cs="Times New Roman"/>
          <w:sz w:val="28"/>
          <w:szCs w:val="28"/>
          <w:lang w:eastAsia="ru-RU"/>
        </w:rPr>
        <w:t>.</w:t>
      </w:r>
    </w:p>
    <w:p w14:paraId="5CEF578A" w14:textId="77777777" w:rsidR="00E95D4D" w:rsidRDefault="00E95D4D"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 целях </w:t>
      </w:r>
      <w:r w:rsidRPr="00E95D4D">
        <w:rPr>
          <w:rFonts w:ascii="Times New Roman" w:eastAsia="Times New Roman" w:hAnsi="Times New Roman" w:cs="Times New Roman"/>
          <w:sz w:val="28"/>
          <w:szCs w:val="28"/>
          <w:lang w:eastAsia="ru-RU"/>
        </w:rPr>
        <w:t>решения задачи обеспечения понятности и доступности бюджетных данных, повышения бюджетной грамо</w:t>
      </w:r>
      <w:r>
        <w:rPr>
          <w:rFonts w:ascii="Times New Roman" w:eastAsia="Times New Roman" w:hAnsi="Times New Roman" w:cs="Times New Roman"/>
          <w:sz w:val="28"/>
          <w:szCs w:val="28"/>
          <w:lang w:eastAsia="ru-RU"/>
        </w:rPr>
        <w:t>тности населения региона осуществляется</w:t>
      </w:r>
      <w:r w:rsidRPr="00E95D4D">
        <w:rPr>
          <w:rFonts w:ascii="Times New Roman" w:eastAsia="Times New Roman" w:hAnsi="Times New Roman" w:cs="Times New Roman"/>
          <w:sz w:val="28"/>
          <w:szCs w:val="28"/>
          <w:lang w:eastAsia="ru-RU"/>
        </w:rPr>
        <w:t xml:space="preserve"> подготовка брошюр для граждан «Бюджет Иркутской области»</w:t>
      </w:r>
      <w:r>
        <w:rPr>
          <w:rFonts w:ascii="Times New Roman" w:eastAsia="Times New Roman" w:hAnsi="Times New Roman" w:cs="Times New Roman"/>
          <w:sz w:val="28"/>
          <w:szCs w:val="28"/>
          <w:lang w:eastAsia="ru-RU"/>
        </w:rPr>
        <w:t>.</w:t>
      </w:r>
    </w:p>
    <w:p w14:paraId="4BA223C5" w14:textId="77777777" w:rsidR="00C3220D" w:rsidRPr="00C3220D" w:rsidRDefault="00C3220D"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3220D">
        <w:rPr>
          <w:rFonts w:ascii="Times New Roman" w:eastAsia="Times New Roman" w:hAnsi="Times New Roman" w:cs="Times New Roman"/>
          <w:sz w:val="28"/>
          <w:szCs w:val="28"/>
          <w:lang w:eastAsia="ru-RU"/>
        </w:rPr>
        <w:t>В 2017 году работа, проводимая регионом в направлении обеспечения доступности и понятности бюджетных данных, второй год подряд получила высокую оценку со стороны Минфина России.</w:t>
      </w:r>
    </w:p>
    <w:p w14:paraId="356419E3" w14:textId="2BB8CC19" w:rsidR="00597AF6" w:rsidRDefault="002B0AE3"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w:t>
      </w:r>
      <w:r w:rsidR="00065D93" w:rsidRPr="00065D93">
        <w:rPr>
          <w:rFonts w:ascii="Times New Roman" w:eastAsia="Times New Roman" w:hAnsi="Times New Roman" w:cs="Times New Roman"/>
          <w:sz w:val="28"/>
          <w:szCs w:val="28"/>
          <w:lang w:eastAsia="ru-RU"/>
        </w:rPr>
        <w:t xml:space="preserve"> результатам оценки качества управления региональными финансами за 2016 год, проводимой Минфином России, Иркутск</w:t>
      </w:r>
      <w:r>
        <w:rPr>
          <w:rFonts w:ascii="Times New Roman" w:eastAsia="Times New Roman" w:hAnsi="Times New Roman" w:cs="Times New Roman"/>
          <w:sz w:val="28"/>
          <w:szCs w:val="28"/>
          <w:lang w:eastAsia="ru-RU"/>
        </w:rPr>
        <w:t>ой</w:t>
      </w:r>
      <w:r w:rsidR="00065D93" w:rsidRPr="00065D93">
        <w:rPr>
          <w:rFonts w:ascii="Times New Roman" w:eastAsia="Times New Roman" w:hAnsi="Times New Roman" w:cs="Times New Roman"/>
          <w:sz w:val="28"/>
          <w:szCs w:val="28"/>
          <w:lang w:eastAsia="ru-RU"/>
        </w:rPr>
        <w:t xml:space="preserve"> област</w:t>
      </w:r>
      <w:r>
        <w:rPr>
          <w:rFonts w:ascii="Times New Roman" w:eastAsia="Times New Roman" w:hAnsi="Times New Roman" w:cs="Times New Roman"/>
          <w:sz w:val="28"/>
          <w:szCs w:val="28"/>
          <w:lang w:eastAsia="ru-RU"/>
        </w:rPr>
        <w:t xml:space="preserve">и, как и в предыдущие годы присвоена </w:t>
      </w:r>
      <w:r w:rsidR="00065D93" w:rsidRPr="00065D93">
        <w:rPr>
          <w:rFonts w:ascii="Times New Roman" w:eastAsia="Times New Roman" w:hAnsi="Times New Roman" w:cs="Times New Roman"/>
          <w:sz w:val="28"/>
          <w:szCs w:val="28"/>
          <w:lang w:eastAsia="ru-RU"/>
        </w:rPr>
        <w:t>I (высш</w:t>
      </w:r>
      <w:r>
        <w:rPr>
          <w:rFonts w:ascii="Times New Roman" w:eastAsia="Times New Roman" w:hAnsi="Times New Roman" w:cs="Times New Roman"/>
          <w:sz w:val="28"/>
          <w:szCs w:val="28"/>
          <w:lang w:eastAsia="ru-RU"/>
        </w:rPr>
        <w:t>ая</w:t>
      </w:r>
      <w:r w:rsidR="00065D93" w:rsidRPr="00065D93">
        <w:rPr>
          <w:rFonts w:ascii="Times New Roman" w:eastAsia="Times New Roman" w:hAnsi="Times New Roman" w:cs="Times New Roman"/>
          <w:sz w:val="28"/>
          <w:szCs w:val="28"/>
          <w:lang w:eastAsia="ru-RU"/>
        </w:rPr>
        <w:t xml:space="preserve">) степень качества. Определяющими факторами в достижении столь высокой оценки стали </w:t>
      </w:r>
      <w:r w:rsidR="00BF6415">
        <w:rPr>
          <w:rFonts w:ascii="Times New Roman" w:eastAsia="Times New Roman" w:hAnsi="Times New Roman" w:cs="Times New Roman"/>
          <w:sz w:val="28"/>
          <w:szCs w:val="28"/>
          <w:lang w:eastAsia="ru-RU"/>
        </w:rPr>
        <w:t>точность</w:t>
      </w:r>
      <w:r w:rsidR="00065D93" w:rsidRPr="00065D93">
        <w:rPr>
          <w:rFonts w:ascii="Times New Roman" w:eastAsia="Times New Roman" w:hAnsi="Times New Roman" w:cs="Times New Roman"/>
          <w:sz w:val="28"/>
          <w:szCs w:val="28"/>
          <w:lang w:eastAsia="ru-RU"/>
        </w:rPr>
        <w:t xml:space="preserve"> планирования и исполнения бюджета, взвешенный подход к управлению государственным долгом и собственностью, построение четких финансовых взаимоотношений с муниципалитетами и обеспечение должного уровня прозрачности (открытости) этапов бюджетного процесса.  </w:t>
      </w:r>
    </w:p>
    <w:p w14:paraId="68D02293" w14:textId="6BBBA6BF" w:rsidR="00893CBB" w:rsidRPr="008C05EC" w:rsidRDefault="00697FE1" w:rsidP="008C05EC">
      <w:pPr>
        <w:pStyle w:val="1"/>
        <w:tabs>
          <w:tab w:val="left" w:pos="284"/>
        </w:tabs>
        <w:jc w:val="center"/>
        <w:rPr>
          <w:rFonts w:ascii="Times New Roman" w:hAnsi="Times New Roman" w:cs="Times New Roman"/>
          <w:b/>
          <w:color w:val="auto"/>
          <w:sz w:val="28"/>
          <w:u w:val="single"/>
        </w:rPr>
      </w:pPr>
      <w:bookmarkStart w:id="6" w:name="_Toc496702981"/>
      <w:r w:rsidRPr="008C05EC">
        <w:rPr>
          <w:rFonts w:ascii="Times New Roman" w:hAnsi="Times New Roman" w:cs="Times New Roman"/>
          <w:b/>
          <w:color w:val="auto"/>
          <w:sz w:val="28"/>
          <w:u w:val="single"/>
        </w:rPr>
        <w:t xml:space="preserve">II. </w:t>
      </w:r>
      <w:r w:rsidR="00893CBB" w:rsidRPr="008C05EC">
        <w:rPr>
          <w:rFonts w:ascii="Times New Roman" w:hAnsi="Times New Roman" w:cs="Times New Roman"/>
          <w:b/>
          <w:color w:val="auto"/>
          <w:sz w:val="28"/>
          <w:u w:val="single"/>
        </w:rPr>
        <w:t xml:space="preserve">Основные </w:t>
      </w:r>
      <w:r w:rsidR="008552B8" w:rsidRPr="008C05EC">
        <w:rPr>
          <w:rFonts w:ascii="Times New Roman" w:hAnsi="Times New Roman" w:cs="Times New Roman"/>
          <w:b/>
          <w:color w:val="auto"/>
          <w:sz w:val="28"/>
          <w:u w:val="single"/>
        </w:rPr>
        <w:t>направления</w:t>
      </w:r>
      <w:r w:rsidR="00893CBB" w:rsidRPr="008C05EC">
        <w:rPr>
          <w:rFonts w:ascii="Times New Roman" w:hAnsi="Times New Roman" w:cs="Times New Roman"/>
          <w:b/>
          <w:color w:val="auto"/>
          <w:sz w:val="28"/>
          <w:u w:val="single"/>
        </w:rPr>
        <w:t xml:space="preserve"> бюджетной </w:t>
      </w:r>
      <w:r w:rsidR="004C456A" w:rsidRPr="008C05EC">
        <w:rPr>
          <w:rFonts w:ascii="Times New Roman" w:hAnsi="Times New Roman" w:cs="Times New Roman"/>
          <w:b/>
          <w:color w:val="auto"/>
          <w:sz w:val="28"/>
          <w:u w:val="single"/>
        </w:rPr>
        <w:t xml:space="preserve">и налоговой </w:t>
      </w:r>
      <w:r w:rsidR="00893CBB" w:rsidRPr="008C05EC">
        <w:rPr>
          <w:rFonts w:ascii="Times New Roman" w:hAnsi="Times New Roman" w:cs="Times New Roman"/>
          <w:b/>
          <w:color w:val="auto"/>
          <w:sz w:val="28"/>
          <w:u w:val="single"/>
        </w:rPr>
        <w:t xml:space="preserve">политики </w:t>
      </w:r>
      <w:r w:rsidR="008C05EC">
        <w:rPr>
          <w:rFonts w:ascii="Times New Roman" w:hAnsi="Times New Roman" w:cs="Times New Roman"/>
          <w:b/>
          <w:color w:val="auto"/>
          <w:sz w:val="28"/>
          <w:u w:val="single"/>
        </w:rPr>
        <w:br/>
      </w:r>
      <w:r w:rsidR="00893CBB" w:rsidRPr="008C05EC">
        <w:rPr>
          <w:rFonts w:ascii="Times New Roman" w:hAnsi="Times New Roman" w:cs="Times New Roman"/>
          <w:b/>
          <w:color w:val="auto"/>
          <w:sz w:val="28"/>
          <w:u w:val="single"/>
        </w:rPr>
        <w:t>на 201</w:t>
      </w:r>
      <w:r w:rsidR="004C456A" w:rsidRPr="008C05EC">
        <w:rPr>
          <w:rFonts w:ascii="Times New Roman" w:hAnsi="Times New Roman" w:cs="Times New Roman"/>
          <w:b/>
          <w:color w:val="auto"/>
          <w:sz w:val="28"/>
          <w:u w:val="single"/>
        </w:rPr>
        <w:t>8</w:t>
      </w:r>
      <w:r w:rsidR="00815CE4" w:rsidRPr="008C05EC">
        <w:rPr>
          <w:rFonts w:ascii="Times New Roman" w:hAnsi="Times New Roman" w:cs="Times New Roman"/>
          <w:b/>
          <w:color w:val="auto"/>
          <w:sz w:val="28"/>
          <w:u w:val="single"/>
        </w:rPr>
        <w:t xml:space="preserve"> </w:t>
      </w:r>
      <w:r w:rsidR="00893CBB" w:rsidRPr="008C05EC">
        <w:rPr>
          <w:rFonts w:ascii="Times New Roman" w:hAnsi="Times New Roman" w:cs="Times New Roman"/>
          <w:b/>
          <w:color w:val="auto"/>
          <w:sz w:val="28"/>
          <w:u w:val="single"/>
        </w:rPr>
        <w:t>-</w:t>
      </w:r>
      <w:r w:rsidR="00815CE4" w:rsidRPr="008C05EC">
        <w:rPr>
          <w:rFonts w:ascii="Times New Roman" w:hAnsi="Times New Roman" w:cs="Times New Roman"/>
          <w:b/>
          <w:color w:val="auto"/>
          <w:sz w:val="28"/>
          <w:u w:val="single"/>
        </w:rPr>
        <w:t xml:space="preserve"> </w:t>
      </w:r>
      <w:r w:rsidR="00893CBB" w:rsidRPr="008C05EC">
        <w:rPr>
          <w:rFonts w:ascii="Times New Roman" w:hAnsi="Times New Roman" w:cs="Times New Roman"/>
          <w:b/>
          <w:color w:val="auto"/>
          <w:sz w:val="28"/>
          <w:u w:val="single"/>
        </w:rPr>
        <w:t>20</w:t>
      </w:r>
      <w:r w:rsidR="004C456A" w:rsidRPr="008C05EC">
        <w:rPr>
          <w:rFonts w:ascii="Times New Roman" w:hAnsi="Times New Roman" w:cs="Times New Roman"/>
          <w:b/>
          <w:color w:val="auto"/>
          <w:sz w:val="28"/>
          <w:u w:val="single"/>
        </w:rPr>
        <w:t>20</w:t>
      </w:r>
      <w:r w:rsidR="00893CBB" w:rsidRPr="008C05EC">
        <w:rPr>
          <w:rFonts w:ascii="Times New Roman" w:hAnsi="Times New Roman" w:cs="Times New Roman"/>
          <w:b/>
          <w:color w:val="auto"/>
          <w:sz w:val="28"/>
          <w:u w:val="single"/>
        </w:rPr>
        <w:t xml:space="preserve"> годы</w:t>
      </w:r>
      <w:bookmarkEnd w:id="6"/>
    </w:p>
    <w:p w14:paraId="0727BBB9" w14:textId="77777777" w:rsidR="00193882" w:rsidRDefault="00F72E67"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Учитывая необходимость соблюдения жестких финансовых и экономических требований, выставленных федеральным центром перед субъектами Российской Федерации, получающими из федерального бюджета, </w:t>
      </w:r>
      <w:r w:rsidR="00862412">
        <w:rPr>
          <w:rFonts w:ascii="Times New Roman" w:eastAsia="Times New Roman" w:hAnsi="Times New Roman" w:cs="Times New Roman"/>
          <w:sz w:val="28"/>
          <w:szCs w:val="28"/>
          <w:lang w:eastAsia="ru-RU"/>
        </w:rPr>
        <w:t xml:space="preserve">дотацию на выравнивание бюджетной обеспеченности и бюджетные кредиты, </w:t>
      </w:r>
      <w:r w:rsidR="006050E3" w:rsidRPr="00EC318D">
        <w:rPr>
          <w:rFonts w:ascii="Times New Roman" w:eastAsia="Times New Roman" w:hAnsi="Times New Roman" w:cs="Times New Roman"/>
          <w:sz w:val="28"/>
          <w:szCs w:val="28"/>
          <w:lang w:eastAsia="ru-RU"/>
        </w:rPr>
        <w:t xml:space="preserve">необходимость обеспечения экономического роста региона в условиях усиливающейся с каждым годом социальной нагрузки на региональный бюджет </w:t>
      </w:r>
      <w:r>
        <w:rPr>
          <w:rFonts w:ascii="Times New Roman" w:eastAsia="Times New Roman" w:hAnsi="Times New Roman" w:cs="Times New Roman"/>
          <w:sz w:val="28"/>
          <w:szCs w:val="28"/>
          <w:lang w:eastAsia="ru-RU"/>
        </w:rPr>
        <w:t>основной целью реализации бюджетной</w:t>
      </w:r>
      <w:r w:rsidR="00837D02">
        <w:rPr>
          <w:rFonts w:ascii="Times New Roman" w:eastAsia="Times New Roman" w:hAnsi="Times New Roman" w:cs="Times New Roman"/>
          <w:sz w:val="28"/>
          <w:szCs w:val="28"/>
          <w:lang w:eastAsia="ru-RU"/>
        </w:rPr>
        <w:t xml:space="preserve"> и налоговой</w:t>
      </w:r>
      <w:r>
        <w:rPr>
          <w:rFonts w:ascii="Times New Roman" w:eastAsia="Times New Roman" w:hAnsi="Times New Roman" w:cs="Times New Roman"/>
          <w:sz w:val="28"/>
          <w:szCs w:val="28"/>
          <w:lang w:eastAsia="ru-RU"/>
        </w:rPr>
        <w:t xml:space="preserve"> политики Иркутской области на 2018 год и </w:t>
      </w:r>
      <w:r w:rsidR="006050E3">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плановый период 2019 и 2020 годов</w:t>
      </w:r>
      <w:r w:rsidR="00933D90">
        <w:rPr>
          <w:rFonts w:ascii="Times New Roman" w:eastAsia="Times New Roman" w:hAnsi="Times New Roman" w:cs="Times New Roman"/>
          <w:sz w:val="28"/>
          <w:szCs w:val="28"/>
          <w:lang w:eastAsia="ru-RU"/>
        </w:rPr>
        <w:t xml:space="preserve"> является</w:t>
      </w:r>
      <w:r>
        <w:rPr>
          <w:rFonts w:ascii="Times New Roman" w:eastAsia="Times New Roman" w:hAnsi="Times New Roman" w:cs="Times New Roman"/>
          <w:sz w:val="28"/>
          <w:szCs w:val="28"/>
          <w:lang w:eastAsia="ru-RU"/>
        </w:rPr>
        <w:t xml:space="preserve"> </w:t>
      </w:r>
      <w:r w:rsidR="006050E3">
        <w:rPr>
          <w:rFonts w:ascii="Times New Roman" w:eastAsia="Times New Roman" w:hAnsi="Times New Roman" w:cs="Times New Roman"/>
          <w:sz w:val="28"/>
          <w:szCs w:val="28"/>
          <w:lang w:eastAsia="ru-RU"/>
        </w:rPr>
        <w:t xml:space="preserve">сохранение </w:t>
      </w:r>
      <w:r w:rsidR="006050E3" w:rsidRPr="00EC318D">
        <w:rPr>
          <w:rFonts w:ascii="Times New Roman" w:eastAsia="Times New Roman" w:hAnsi="Times New Roman" w:cs="Times New Roman"/>
          <w:sz w:val="28"/>
          <w:szCs w:val="28"/>
          <w:lang w:eastAsia="ru-RU"/>
        </w:rPr>
        <w:t>сбалансированности и устойчивости бюджетной системы Иркутской области в среднесрочной перспективе</w:t>
      </w:r>
      <w:r w:rsidR="00193882">
        <w:rPr>
          <w:rFonts w:ascii="Times New Roman" w:eastAsia="Times New Roman" w:hAnsi="Times New Roman" w:cs="Times New Roman"/>
          <w:sz w:val="28"/>
          <w:szCs w:val="28"/>
          <w:lang w:eastAsia="ru-RU"/>
        </w:rPr>
        <w:t>.</w:t>
      </w:r>
    </w:p>
    <w:p w14:paraId="2B1D3BC2" w14:textId="6B62CA8E" w:rsidR="00193882" w:rsidRDefault="00193882"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Обеспечение сбалансированности и устойчивости </w:t>
      </w:r>
      <w:r w:rsidRPr="00EC318D">
        <w:rPr>
          <w:rFonts w:ascii="Times New Roman" w:eastAsia="Times New Roman" w:hAnsi="Times New Roman" w:cs="Times New Roman"/>
          <w:sz w:val="28"/>
          <w:szCs w:val="28"/>
          <w:lang w:eastAsia="ru-RU"/>
        </w:rPr>
        <w:t>бюджетной системы Иркутской области в среднесрочной перспективе</w:t>
      </w:r>
      <w:r>
        <w:rPr>
          <w:rFonts w:ascii="Times New Roman" w:eastAsia="Times New Roman" w:hAnsi="Times New Roman" w:cs="Times New Roman"/>
          <w:sz w:val="28"/>
          <w:szCs w:val="28"/>
          <w:lang w:eastAsia="ru-RU"/>
        </w:rPr>
        <w:t xml:space="preserve"> будет достигаться, с учетом того, что основная финансовая нагрузка по расходным обязательствам консолидированного бюджета Иркутской области приходится на областной бюджет.</w:t>
      </w:r>
    </w:p>
    <w:p w14:paraId="745EFE94" w14:textId="6E0296E2" w:rsidR="00CE619B" w:rsidRDefault="00193882"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E619B">
        <w:rPr>
          <w:rFonts w:ascii="Times New Roman" w:eastAsia="Times New Roman" w:hAnsi="Times New Roman" w:cs="Times New Roman"/>
          <w:sz w:val="28"/>
          <w:szCs w:val="28"/>
          <w:lang w:eastAsia="ru-RU"/>
        </w:rPr>
        <w:t xml:space="preserve">При этом, принятые в утвержденном Бюджетном прогнозе на долгосрочный период решения по поэтапному снижению дефицита бюджета и уровня государственного долга должны быть реализованы. </w:t>
      </w:r>
      <w:r w:rsidR="008D7251">
        <w:rPr>
          <w:rFonts w:ascii="Times New Roman" w:eastAsia="Times New Roman" w:hAnsi="Times New Roman" w:cs="Times New Roman"/>
          <w:sz w:val="28"/>
          <w:szCs w:val="28"/>
          <w:lang w:eastAsia="ru-RU"/>
        </w:rPr>
        <w:t xml:space="preserve">Прогнозируемые доходы на предстоящий трехлетний период позволяют это сделать без риска для снижения </w:t>
      </w:r>
      <w:r w:rsidR="008E001E">
        <w:rPr>
          <w:rFonts w:ascii="Times New Roman" w:eastAsia="Times New Roman" w:hAnsi="Times New Roman" w:cs="Times New Roman"/>
          <w:sz w:val="28"/>
          <w:szCs w:val="28"/>
          <w:lang w:eastAsia="ru-RU"/>
        </w:rPr>
        <w:t>ресурсного обеспечения расходных обязательств Иркутской области</w:t>
      </w:r>
      <w:r w:rsidR="008D7251">
        <w:rPr>
          <w:rFonts w:ascii="Times New Roman" w:eastAsia="Times New Roman" w:hAnsi="Times New Roman" w:cs="Times New Roman"/>
          <w:sz w:val="28"/>
          <w:szCs w:val="28"/>
          <w:lang w:eastAsia="ru-RU"/>
        </w:rPr>
        <w:t xml:space="preserve"> по отношению к действующему бюджету 2017 года.</w:t>
      </w:r>
    </w:p>
    <w:p w14:paraId="780179CD" w14:textId="2E560716" w:rsidR="008D7251" w:rsidRDefault="008D7251"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Однако изменение </w:t>
      </w:r>
      <w:r w:rsidR="008E001E">
        <w:rPr>
          <w:rFonts w:ascii="Times New Roman" w:eastAsia="Times New Roman" w:hAnsi="Times New Roman" w:cs="Times New Roman"/>
          <w:sz w:val="28"/>
          <w:szCs w:val="28"/>
          <w:lang w:eastAsia="ru-RU"/>
        </w:rPr>
        <w:t>отдельных направлений</w:t>
      </w:r>
      <w:r>
        <w:rPr>
          <w:rFonts w:ascii="Times New Roman" w:eastAsia="Times New Roman" w:hAnsi="Times New Roman" w:cs="Times New Roman"/>
          <w:sz w:val="28"/>
          <w:szCs w:val="28"/>
          <w:lang w:eastAsia="ru-RU"/>
        </w:rPr>
        <w:t xml:space="preserve"> реализуемых государственных программ Иркутской области потребуют </w:t>
      </w:r>
      <w:r w:rsidR="00B4287F">
        <w:rPr>
          <w:rFonts w:ascii="Times New Roman" w:eastAsia="Times New Roman" w:hAnsi="Times New Roman" w:cs="Times New Roman"/>
          <w:sz w:val="28"/>
          <w:szCs w:val="28"/>
          <w:lang w:eastAsia="ru-RU"/>
        </w:rPr>
        <w:t xml:space="preserve">от получателей бюджетных средств </w:t>
      </w:r>
      <w:r>
        <w:rPr>
          <w:rFonts w:ascii="Times New Roman" w:eastAsia="Times New Roman" w:hAnsi="Times New Roman" w:cs="Times New Roman"/>
          <w:sz w:val="28"/>
          <w:szCs w:val="28"/>
          <w:lang w:eastAsia="ru-RU"/>
        </w:rPr>
        <w:t xml:space="preserve">проведения дальнейшей работы по </w:t>
      </w:r>
      <w:proofErr w:type="spellStart"/>
      <w:r w:rsidR="008E001E">
        <w:rPr>
          <w:rFonts w:ascii="Times New Roman" w:eastAsia="Times New Roman" w:hAnsi="Times New Roman" w:cs="Times New Roman"/>
          <w:sz w:val="28"/>
          <w:szCs w:val="28"/>
          <w:lang w:eastAsia="ru-RU"/>
        </w:rPr>
        <w:t>приоритезации</w:t>
      </w:r>
      <w:proofErr w:type="spellEnd"/>
      <w:r>
        <w:rPr>
          <w:rFonts w:ascii="Times New Roman" w:eastAsia="Times New Roman" w:hAnsi="Times New Roman" w:cs="Times New Roman"/>
          <w:sz w:val="28"/>
          <w:szCs w:val="28"/>
          <w:lang w:eastAsia="ru-RU"/>
        </w:rPr>
        <w:t xml:space="preserve"> расходов бюджета и повышению эффективности их использования.</w:t>
      </w:r>
    </w:p>
    <w:p w14:paraId="01B3066A" w14:textId="5AFBB0D0" w:rsidR="00CE619B" w:rsidRDefault="008D7251"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Исполнительным органам государственной власти Иркутской области </w:t>
      </w:r>
      <w:r w:rsidR="00B4287F">
        <w:rPr>
          <w:rFonts w:ascii="Times New Roman" w:eastAsia="Times New Roman" w:hAnsi="Times New Roman" w:cs="Times New Roman"/>
          <w:sz w:val="28"/>
          <w:szCs w:val="28"/>
          <w:lang w:eastAsia="ru-RU"/>
        </w:rPr>
        <w:t xml:space="preserve">необходимо ответственно подходить к планированию бюджетных ассигнований и учитывать все риски возможного их неисполнения. В случае наличия таких рисков отказаться от проведения мероприятий, тем самым обеспечив возможность направления бюджетных средств на более </w:t>
      </w:r>
      <w:r w:rsidR="008E001E">
        <w:rPr>
          <w:rFonts w:ascii="Times New Roman" w:eastAsia="Times New Roman" w:hAnsi="Times New Roman" w:cs="Times New Roman"/>
          <w:sz w:val="28"/>
          <w:szCs w:val="28"/>
          <w:lang w:eastAsia="ru-RU"/>
        </w:rPr>
        <w:t>приоритетные и первоочередные</w:t>
      </w:r>
      <w:r w:rsidR="00B4287F">
        <w:rPr>
          <w:rFonts w:ascii="Times New Roman" w:eastAsia="Times New Roman" w:hAnsi="Times New Roman" w:cs="Times New Roman"/>
          <w:sz w:val="28"/>
          <w:szCs w:val="28"/>
          <w:lang w:eastAsia="ru-RU"/>
        </w:rPr>
        <w:t xml:space="preserve"> направления государственных программ.</w:t>
      </w:r>
    </w:p>
    <w:p w14:paraId="4242C2D7" w14:textId="1215C5AA" w:rsidR="00665709" w:rsidRDefault="00665709"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развития программно-целевого планирования </w:t>
      </w:r>
      <w:r w:rsidR="00C23148">
        <w:rPr>
          <w:rFonts w:ascii="Times New Roman" w:eastAsia="Times New Roman" w:hAnsi="Times New Roman" w:cs="Times New Roman"/>
          <w:sz w:val="28"/>
          <w:szCs w:val="28"/>
          <w:lang w:eastAsia="ru-RU"/>
        </w:rPr>
        <w:t xml:space="preserve">в предстоящем периоде </w:t>
      </w:r>
      <w:r w:rsidR="0064627A">
        <w:rPr>
          <w:rFonts w:ascii="Times New Roman" w:eastAsia="Times New Roman" w:hAnsi="Times New Roman" w:cs="Times New Roman"/>
          <w:sz w:val="28"/>
          <w:szCs w:val="28"/>
          <w:lang w:eastAsia="ru-RU"/>
        </w:rPr>
        <w:t>будет</w:t>
      </w:r>
      <w:r w:rsidR="00C23148">
        <w:rPr>
          <w:rFonts w:ascii="Times New Roman" w:eastAsia="Times New Roman" w:hAnsi="Times New Roman" w:cs="Times New Roman"/>
          <w:sz w:val="28"/>
          <w:szCs w:val="28"/>
          <w:lang w:eastAsia="ru-RU"/>
        </w:rPr>
        <w:t xml:space="preserve"> </w:t>
      </w:r>
      <w:r w:rsidR="0064627A">
        <w:rPr>
          <w:rFonts w:ascii="Times New Roman" w:eastAsia="Times New Roman" w:hAnsi="Times New Roman" w:cs="Times New Roman"/>
          <w:sz w:val="28"/>
          <w:szCs w:val="28"/>
          <w:lang w:eastAsia="ru-RU"/>
        </w:rPr>
        <w:t>осуществлена</w:t>
      </w:r>
      <w:r w:rsidR="00C23148">
        <w:rPr>
          <w:rFonts w:ascii="Times New Roman" w:eastAsia="Times New Roman" w:hAnsi="Times New Roman" w:cs="Times New Roman"/>
          <w:sz w:val="28"/>
          <w:szCs w:val="28"/>
          <w:lang w:eastAsia="ru-RU"/>
        </w:rPr>
        <w:t xml:space="preserve"> работ</w:t>
      </w:r>
      <w:r w:rsidR="0064627A">
        <w:rPr>
          <w:rFonts w:ascii="Times New Roman" w:eastAsia="Times New Roman" w:hAnsi="Times New Roman" w:cs="Times New Roman"/>
          <w:sz w:val="28"/>
          <w:szCs w:val="28"/>
          <w:lang w:eastAsia="ru-RU"/>
        </w:rPr>
        <w:t>а</w:t>
      </w:r>
      <w:r w:rsidR="00C23148">
        <w:rPr>
          <w:rFonts w:ascii="Times New Roman" w:eastAsia="Times New Roman" w:hAnsi="Times New Roman" w:cs="Times New Roman"/>
          <w:sz w:val="28"/>
          <w:szCs w:val="28"/>
          <w:lang w:eastAsia="ru-RU"/>
        </w:rPr>
        <w:t xml:space="preserve"> по внедрению проектных принципов управления через формирование и реализацию приоритетных проектов Иркутской области</w:t>
      </w:r>
      <w:r w:rsidR="0064627A">
        <w:rPr>
          <w:rFonts w:ascii="Times New Roman" w:eastAsia="Times New Roman" w:hAnsi="Times New Roman" w:cs="Times New Roman"/>
          <w:sz w:val="28"/>
          <w:szCs w:val="28"/>
          <w:lang w:eastAsia="ru-RU"/>
        </w:rPr>
        <w:t>, которые должны</w:t>
      </w:r>
      <w:r w:rsidR="00C23148">
        <w:rPr>
          <w:rFonts w:ascii="Times New Roman" w:eastAsia="Times New Roman" w:hAnsi="Times New Roman" w:cs="Times New Roman"/>
          <w:sz w:val="28"/>
          <w:szCs w:val="28"/>
          <w:lang w:eastAsia="ru-RU"/>
        </w:rPr>
        <w:t xml:space="preserve"> </w:t>
      </w:r>
      <w:r w:rsidR="0064627A">
        <w:rPr>
          <w:rFonts w:ascii="Times New Roman" w:eastAsia="Times New Roman" w:hAnsi="Times New Roman" w:cs="Times New Roman"/>
          <w:sz w:val="28"/>
          <w:szCs w:val="28"/>
          <w:lang w:eastAsia="ru-RU"/>
        </w:rPr>
        <w:t>стать</w:t>
      </w:r>
      <w:r w:rsidR="00C23148">
        <w:rPr>
          <w:rFonts w:ascii="Times New Roman" w:eastAsia="Times New Roman" w:hAnsi="Times New Roman" w:cs="Times New Roman"/>
          <w:sz w:val="28"/>
          <w:szCs w:val="28"/>
          <w:lang w:eastAsia="ru-RU"/>
        </w:rPr>
        <w:t xml:space="preserve"> структурными элементами</w:t>
      </w:r>
      <w:r w:rsidR="0064627A">
        <w:rPr>
          <w:rFonts w:ascii="Times New Roman" w:eastAsia="Times New Roman" w:hAnsi="Times New Roman" w:cs="Times New Roman"/>
          <w:sz w:val="28"/>
          <w:szCs w:val="28"/>
          <w:lang w:eastAsia="ru-RU"/>
        </w:rPr>
        <w:t xml:space="preserve"> государственных программ, но с четкими целями и задачами, ограниченным количеством индикаторов. Реализация приоритетных проектов Иркутской области будет направлена на решение наиболее актуальных проблем в определенных сферах и на конкретных территориях. </w:t>
      </w:r>
      <w:r w:rsidR="00C23148">
        <w:rPr>
          <w:rFonts w:ascii="Times New Roman" w:eastAsia="Times New Roman" w:hAnsi="Times New Roman" w:cs="Times New Roman"/>
          <w:sz w:val="28"/>
          <w:szCs w:val="28"/>
          <w:lang w:eastAsia="ru-RU"/>
        </w:rPr>
        <w:t xml:space="preserve"> </w:t>
      </w:r>
    </w:p>
    <w:p w14:paraId="299AD15C" w14:textId="2D9EED39" w:rsidR="00052412" w:rsidRDefault="00052412"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318D">
        <w:rPr>
          <w:rFonts w:ascii="Times New Roman" w:eastAsia="Times New Roman" w:hAnsi="Times New Roman" w:cs="Times New Roman"/>
          <w:sz w:val="28"/>
          <w:szCs w:val="28"/>
          <w:lang w:eastAsia="ru-RU"/>
        </w:rPr>
        <w:t xml:space="preserve">В новом бюджетном цикле реализация бюджетной политики Иркутской области будет осуществляться с учетом особенностей, обусловленных </w:t>
      </w:r>
      <w:r>
        <w:rPr>
          <w:rFonts w:ascii="Times New Roman" w:eastAsia="Times New Roman" w:hAnsi="Times New Roman" w:cs="Times New Roman"/>
          <w:sz w:val="28"/>
          <w:szCs w:val="28"/>
          <w:lang w:eastAsia="ru-RU"/>
        </w:rPr>
        <w:t>совершенствованием межбюджетных отношений на федеральном уровне, и необходимости соблюдения условий соглашений, заключенных с Минфином России о предоставлении бюджетных кредитов и дотации на выравнивание бюджетной обеспеченности субъектов Российской Федерации.</w:t>
      </w:r>
    </w:p>
    <w:p w14:paraId="4FDEF3A0" w14:textId="48F3BA11" w:rsidR="00F3600F" w:rsidRDefault="00F3600F" w:rsidP="005B03B9">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F3600F">
        <w:rPr>
          <w:rFonts w:ascii="Times New Roman" w:hAnsi="Times New Roman" w:cs="Times New Roman"/>
          <w:sz w:val="28"/>
          <w:szCs w:val="28"/>
        </w:rPr>
        <w:t>Налоговая политика Иркутской области в перспективе будет определяться исходя из необходимости сохранения производственного потенциала региона, подверженного негативному влиянию ограничительных мер как внутреннего, так и внешнего характера, а также дальнейшего повышения эффективности мер налогового стимулирования инвестиционной деятельности</w:t>
      </w:r>
      <w:r>
        <w:rPr>
          <w:rFonts w:ascii="Times New Roman" w:hAnsi="Times New Roman" w:cs="Times New Roman"/>
          <w:sz w:val="28"/>
          <w:szCs w:val="28"/>
        </w:rPr>
        <w:t>.</w:t>
      </w:r>
    </w:p>
    <w:p w14:paraId="4935EF2C" w14:textId="77777777" w:rsidR="00894B3B" w:rsidRDefault="00894B3B" w:rsidP="005B03B9">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14:paraId="4F7E41A7" w14:textId="79507491" w:rsidR="00837D02" w:rsidRPr="008C05EC" w:rsidRDefault="00697FE1" w:rsidP="008C05EC">
      <w:pPr>
        <w:pStyle w:val="2"/>
        <w:tabs>
          <w:tab w:val="left" w:pos="426"/>
        </w:tabs>
        <w:rPr>
          <w:rFonts w:ascii="Times New Roman" w:eastAsia="Times New Roman" w:hAnsi="Times New Roman" w:cs="Times New Roman"/>
          <w:b/>
          <w:sz w:val="28"/>
          <w:lang w:eastAsia="ru-RU"/>
        </w:rPr>
      </w:pPr>
      <w:bookmarkStart w:id="7" w:name="_Toc496702982"/>
      <w:r w:rsidRPr="008C05EC">
        <w:rPr>
          <w:rFonts w:ascii="Times New Roman" w:eastAsia="Times New Roman" w:hAnsi="Times New Roman" w:cs="Times New Roman"/>
          <w:b/>
          <w:sz w:val="28"/>
          <w:lang w:eastAsia="ru-RU"/>
        </w:rPr>
        <w:t xml:space="preserve">1. </w:t>
      </w:r>
      <w:r w:rsidR="00837D02" w:rsidRPr="008C05EC">
        <w:rPr>
          <w:rFonts w:ascii="Times New Roman" w:eastAsia="Times New Roman" w:hAnsi="Times New Roman" w:cs="Times New Roman"/>
          <w:b/>
          <w:sz w:val="28"/>
          <w:lang w:eastAsia="ru-RU"/>
        </w:rPr>
        <w:t>Основные цели и задачи налоговой политики Иркутской области на 2018-2020 годы</w:t>
      </w:r>
      <w:bookmarkEnd w:id="7"/>
    </w:p>
    <w:p w14:paraId="62181081" w14:textId="16670A2D"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 xml:space="preserve">1. Вопрос перехода к налогообложению исходя из кадастровой стоимости отдельных объектов недвижимости, определенных статьей 378.2 Налогового кодекса Российской Федерации, являвшийся </w:t>
      </w:r>
      <w:r w:rsidR="002B0AE3">
        <w:rPr>
          <w:rFonts w:ascii="Times New Roman" w:eastAsia="Times New Roman" w:hAnsi="Times New Roman" w:cs="Times New Roman"/>
          <w:sz w:val="28"/>
          <w:szCs w:val="28"/>
          <w:lang w:eastAsia="ru-RU"/>
        </w:rPr>
        <w:t>одной из</w:t>
      </w:r>
      <w:r w:rsidRPr="004C456A">
        <w:rPr>
          <w:rFonts w:ascii="Times New Roman" w:eastAsia="Times New Roman" w:hAnsi="Times New Roman" w:cs="Times New Roman"/>
          <w:sz w:val="28"/>
          <w:szCs w:val="28"/>
          <w:lang w:eastAsia="ru-RU"/>
        </w:rPr>
        <w:t xml:space="preserve"> задач основных направлений налоговой политики Иркутской области предыдущего цикла продолжает сохранять свою актуальность.</w:t>
      </w:r>
    </w:p>
    <w:p w14:paraId="503E2225" w14:textId="5F300306"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Количество регионов, где до настоящего времени не принято решение о переходе к кадастровой стоимости продолжает сокращаться. На сегодня осталось всего 26 регионов, в которых, также, как и в Иркутской области, не принято решение о переходе к налогообложению торгово-офисной недвижимости исходя из кадастровой стоимости.</w:t>
      </w:r>
    </w:p>
    <w:p w14:paraId="2B50D3BD" w14:textId="29020C7A" w:rsidR="00C22ACB" w:rsidRDefault="00C22ACB"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22ACB">
        <w:rPr>
          <w:rFonts w:ascii="Times New Roman" w:eastAsia="Times New Roman" w:hAnsi="Times New Roman" w:cs="Times New Roman"/>
          <w:sz w:val="28"/>
          <w:szCs w:val="28"/>
          <w:lang w:eastAsia="ru-RU"/>
        </w:rPr>
        <w:t>Скорейший переход к кадастровой стоимости может стать инструментом выполнения в Иркутской области поставленной Правительством Российской Федерации в Основных направлениях бюджетной, налоговой и таможенно-тарифной политики Российской Федерации на 2018 год и плановый период 2019 и 2020 годов задачи по «не повышению уровня налоговой нагрузки для добросовестных налогоплательщиков, а по интенсификации мер по обелению экономики». Сегодня, организации на специальных налоговых режимах</w:t>
      </w:r>
      <w:r w:rsidR="00540954">
        <w:rPr>
          <w:rFonts w:ascii="Times New Roman" w:eastAsia="Times New Roman" w:hAnsi="Times New Roman" w:cs="Times New Roman"/>
          <w:sz w:val="28"/>
          <w:szCs w:val="28"/>
          <w:lang w:eastAsia="ru-RU"/>
        </w:rPr>
        <w:t>,</w:t>
      </w:r>
      <w:r w:rsidRPr="00C22ACB">
        <w:rPr>
          <w:rFonts w:ascii="Times New Roman" w:eastAsia="Times New Roman" w:hAnsi="Times New Roman" w:cs="Times New Roman"/>
          <w:sz w:val="28"/>
          <w:szCs w:val="28"/>
          <w:lang w:eastAsia="ru-RU"/>
        </w:rPr>
        <w:t xml:space="preserve"> в силу налогового законодательства</w:t>
      </w:r>
      <w:r w:rsidR="00540954">
        <w:rPr>
          <w:rFonts w:ascii="Times New Roman" w:eastAsia="Times New Roman" w:hAnsi="Times New Roman" w:cs="Times New Roman"/>
          <w:sz w:val="28"/>
          <w:szCs w:val="28"/>
          <w:lang w:eastAsia="ru-RU"/>
        </w:rPr>
        <w:t>,</w:t>
      </w:r>
      <w:r w:rsidRPr="00C22ACB">
        <w:rPr>
          <w:rFonts w:ascii="Times New Roman" w:eastAsia="Times New Roman" w:hAnsi="Times New Roman" w:cs="Times New Roman"/>
          <w:sz w:val="28"/>
          <w:szCs w:val="28"/>
          <w:lang w:eastAsia="ru-RU"/>
        </w:rPr>
        <w:t xml:space="preserve"> освобождены от необходимости уплаты налога на имущество организаций, что используется в том числе для ухода от налогообложения путем дробления бизнеса. Переход к налогообложению по кадастровой стоимости исключит возможность использования данного налогового послабления в этих целях.</w:t>
      </w:r>
    </w:p>
    <w:p w14:paraId="67F2127C" w14:textId="01DD8C02"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2. В целях пополнения доходной части, а также создания равных с российским</w:t>
      </w:r>
      <w:r w:rsidR="00862412">
        <w:rPr>
          <w:rFonts w:ascii="Times New Roman" w:eastAsia="Times New Roman" w:hAnsi="Times New Roman" w:cs="Times New Roman"/>
          <w:sz w:val="28"/>
          <w:szCs w:val="28"/>
          <w:lang w:eastAsia="ru-RU"/>
        </w:rPr>
        <w:t>и</w:t>
      </w:r>
      <w:r w:rsidRPr="004C456A">
        <w:rPr>
          <w:rFonts w:ascii="Times New Roman" w:eastAsia="Times New Roman" w:hAnsi="Times New Roman" w:cs="Times New Roman"/>
          <w:sz w:val="28"/>
          <w:szCs w:val="28"/>
          <w:lang w:eastAsia="ru-RU"/>
        </w:rPr>
        <w:t xml:space="preserve"> гражданами условий налогообложения с 1,91 до 2,311 или на 21% планируется увеличить коэффициент, отражающий особенности рынка труда на территории Иркутской области, используемый иностранными гражданами, осуществляющими трудовую деятельность по найму на основании патента для расчета налога на доходы физических лиц.</w:t>
      </w:r>
    </w:p>
    <w:p w14:paraId="4CBC052C" w14:textId="77777777"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3. Произошедшая с 1 января 2016 года отмена льгот для областных учреждений позволила мобилизовать в бюджет за 2016 год и 9 месяцев 2017 года более 664 млн рублей налога на имущество организаций, из них 450 млн рублей в виде налога, уплаченного учреждениями здравоохранения, финансируемыми в том числе из бюджета Территориального фонда обязательного медицинского страхования граждан Иркутской области.</w:t>
      </w:r>
    </w:p>
    <w:p w14:paraId="641F58ED" w14:textId="77777777"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Необходимость платить налоги за используемое имущество подтолкнула областные учреждения к проведению инвентаризации имущества и освобождению от его неиспользуемой части (передачи другим пользователям, списанию непригодного для использования имущества), повысила качество бюджетного и бухгалтерского учета, дала начало процессу перевода (где это допустимо) недвижимых объектов в категорию движимого имущества.</w:t>
      </w:r>
    </w:p>
    <w:p w14:paraId="21A3642D" w14:textId="77777777"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Для муниципальных учреждений действие льготы будет продлено на год в очередной раз – обязательства по уплате налога на имущество организаций возникнут только с 1 января 2019 года.</w:t>
      </w:r>
    </w:p>
    <w:p w14:paraId="1446D14A" w14:textId="06C9E51D"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 xml:space="preserve">4. Сохранение </w:t>
      </w:r>
      <w:r w:rsidR="00F3600F" w:rsidRPr="00F3600F">
        <w:rPr>
          <w:rFonts w:ascii="Times New Roman" w:eastAsia="Times New Roman" w:hAnsi="Times New Roman" w:cs="Times New Roman"/>
          <w:sz w:val="28"/>
          <w:szCs w:val="28"/>
          <w:lang w:eastAsia="ru-RU"/>
        </w:rPr>
        <w:t xml:space="preserve">после 1 января 2018 года </w:t>
      </w:r>
      <w:r w:rsidRPr="004C456A">
        <w:rPr>
          <w:rFonts w:ascii="Times New Roman" w:eastAsia="Times New Roman" w:hAnsi="Times New Roman" w:cs="Times New Roman"/>
          <w:sz w:val="28"/>
          <w:szCs w:val="28"/>
          <w:lang w:eastAsia="ru-RU"/>
        </w:rPr>
        <w:t xml:space="preserve">льгот в отношении движимого имущества, принятого с 1 января 2013 года на учет в качестве основных средств, </w:t>
      </w:r>
      <w:r w:rsidR="00F3600F">
        <w:rPr>
          <w:rFonts w:ascii="Times New Roman" w:eastAsia="Times New Roman" w:hAnsi="Times New Roman" w:cs="Times New Roman"/>
          <w:sz w:val="28"/>
          <w:szCs w:val="28"/>
          <w:lang w:eastAsia="ru-RU"/>
        </w:rPr>
        <w:t xml:space="preserve">не </w:t>
      </w:r>
      <w:r w:rsidR="00F3600F" w:rsidRPr="00F3600F">
        <w:rPr>
          <w:rFonts w:ascii="Times New Roman" w:eastAsia="Times New Roman" w:hAnsi="Times New Roman" w:cs="Times New Roman"/>
          <w:sz w:val="28"/>
          <w:szCs w:val="28"/>
          <w:lang w:eastAsia="ru-RU"/>
        </w:rPr>
        <w:t xml:space="preserve">планировалось </w:t>
      </w:r>
      <w:r w:rsidRPr="004C456A">
        <w:rPr>
          <w:rFonts w:ascii="Times New Roman" w:eastAsia="Times New Roman" w:hAnsi="Times New Roman" w:cs="Times New Roman"/>
          <w:sz w:val="28"/>
          <w:szCs w:val="28"/>
          <w:lang w:eastAsia="ru-RU"/>
        </w:rPr>
        <w:t>в Иркутской области.</w:t>
      </w:r>
    </w:p>
    <w:p w14:paraId="20F4EFD1" w14:textId="2D5B8173"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 xml:space="preserve">Федеральным законом действие указанной льготы, приведшей к образованию в 2016 году выпадающих доходов субъектов Российской Федерации в размере 164,7 млрд рублей и Иркутской области в размере 2,8 млрд рублей (13 по величине налоговых расходов значение среди регионов страны), ограничено </w:t>
      </w:r>
      <w:r w:rsidR="00403CE8">
        <w:rPr>
          <w:rFonts w:ascii="Times New Roman" w:eastAsia="Times New Roman" w:hAnsi="Times New Roman" w:cs="Times New Roman"/>
          <w:sz w:val="28"/>
          <w:szCs w:val="28"/>
          <w:lang w:eastAsia="ru-RU"/>
        </w:rPr>
        <w:br/>
      </w:r>
      <w:r w:rsidRPr="004C456A">
        <w:rPr>
          <w:rFonts w:ascii="Times New Roman" w:eastAsia="Times New Roman" w:hAnsi="Times New Roman" w:cs="Times New Roman"/>
          <w:sz w:val="28"/>
          <w:szCs w:val="28"/>
          <w:lang w:eastAsia="ru-RU"/>
        </w:rPr>
        <w:t>1 января 2018 года. После указанной даты льгота в отношении движимого имущества применяется на территории субъекта Российской Федерации только в случае принятия соответствующего закона субъекта Российской Федерации по, так называемому, правилу «двух ключей».</w:t>
      </w:r>
    </w:p>
    <w:p w14:paraId="6FA0DFE4" w14:textId="4D4B6267"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Образуемые в результаты отмены льготы для движимого имущества значительные финансовые ресурсы являются важнейшим фактором выполнения в 2018 и последующих годах стоящей перед бюджетной системой Иркутской области задач</w:t>
      </w:r>
      <w:r w:rsidR="00AA06BC">
        <w:rPr>
          <w:rFonts w:ascii="Times New Roman" w:eastAsia="Times New Roman" w:hAnsi="Times New Roman" w:cs="Times New Roman"/>
          <w:sz w:val="28"/>
          <w:szCs w:val="28"/>
          <w:lang w:eastAsia="ru-RU"/>
        </w:rPr>
        <w:t>и</w:t>
      </w:r>
      <w:r w:rsidRPr="004C456A">
        <w:rPr>
          <w:rFonts w:ascii="Times New Roman" w:eastAsia="Times New Roman" w:hAnsi="Times New Roman" w:cs="Times New Roman"/>
          <w:sz w:val="28"/>
          <w:szCs w:val="28"/>
          <w:lang w:eastAsia="ru-RU"/>
        </w:rPr>
        <w:t xml:space="preserve"> обеспечения ее сбалансированности и исполнения ежегодно увеличивающихся социально-значимых обязательств по реализации «майских» указов Президента Российской Федерации 2012 года, обеспечению населения качественными государственными и муниципальными услугами в сферах здравоохранения, образования и так далее. </w:t>
      </w:r>
    </w:p>
    <w:p w14:paraId="09BA2C29" w14:textId="77777777"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Кроме того, в соответствии с принятыми Правительством Иркутской области обязательствами и направлениями региональной налоговой политики все предоставляемые льготы должны соответствовать критериям бюджетной, социально-экономической эффективности, и преследовать целями своего предоставления стимулирование предпринимательской и экономической активности. Предоставляемые безадресно и безусловно федеральные льготы для движимого имущества не всегда соответствуют указанным требованиям.</w:t>
      </w:r>
    </w:p>
    <w:p w14:paraId="463CDDF6" w14:textId="183B6B9C" w:rsid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При этом, с момента предоставления льгот в отношении движимого имущества, чьей целью являлось налоговое стимулирование вложения в данный вид основного капитала, инвестиции организаций Иркутской области в машины, оборудование, транспортные средства, производственный и хозяйственный инвентарь, с</w:t>
      </w:r>
      <w:r w:rsidR="00A33434">
        <w:rPr>
          <w:rFonts w:ascii="Times New Roman" w:eastAsia="Times New Roman" w:hAnsi="Times New Roman" w:cs="Times New Roman"/>
          <w:sz w:val="28"/>
          <w:szCs w:val="28"/>
          <w:lang w:eastAsia="ru-RU"/>
        </w:rPr>
        <w:t>ократились с 74 708,7 млн</w:t>
      </w:r>
      <w:r w:rsidRPr="004C456A">
        <w:rPr>
          <w:rFonts w:ascii="Times New Roman" w:eastAsia="Times New Roman" w:hAnsi="Times New Roman" w:cs="Times New Roman"/>
          <w:sz w:val="28"/>
          <w:szCs w:val="28"/>
          <w:lang w:eastAsia="ru-RU"/>
        </w:rPr>
        <w:t xml:space="preserve"> руб</w:t>
      </w:r>
      <w:r w:rsidR="00A33434">
        <w:rPr>
          <w:rFonts w:ascii="Times New Roman" w:eastAsia="Times New Roman" w:hAnsi="Times New Roman" w:cs="Times New Roman"/>
          <w:sz w:val="28"/>
          <w:szCs w:val="28"/>
          <w:lang w:eastAsia="ru-RU"/>
        </w:rPr>
        <w:t>лей в 2012 году до 67 650,7 млн</w:t>
      </w:r>
      <w:r w:rsidRPr="004C456A">
        <w:rPr>
          <w:rFonts w:ascii="Times New Roman" w:eastAsia="Times New Roman" w:hAnsi="Times New Roman" w:cs="Times New Roman"/>
          <w:sz w:val="28"/>
          <w:szCs w:val="28"/>
          <w:lang w:eastAsia="ru-RU"/>
        </w:rPr>
        <w:t xml:space="preserve"> рублей в 2015 году.</w:t>
      </w:r>
    </w:p>
    <w:p w14:paraId="165391D8" w14:textId="7E2D2A61" w:rsidR="00FE3616" w:rsidRPr="00FE3616" w:rsidRDefault="00FE3616" w:rsidP="00FE361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3616">
        <w:rPr>
          <w:rFonts w:ascii="Times New Roman" w:eastAsia="Times New Roman" w:hAnsi="Times New Roman" w:cs="Times New Roman"/>
          <w:sz w:val="28"/>
          <w:szCs w:val="28"/>
          <w:lang w:eastAsia="ru-RU"/>
        </w:rPr>
        <w:t xml:space="preserve">Однако, 29 сентября 2017 года в Государственную Думу Федерального Собрания Российской Федерации был внесен проект федерального закона </w:t>
      </w:r>
      <w:r>
        <w:rPr>
          <w:rFonts w:ascii="Times New Roman" w:eastAsia="Times New Roman" w:hAnsi="Times New Roman" w:cs="Times New Roman"/>
          <w:sz w:val="28"/>
          <w:szCs w:val="28"/>
          <w:lang w:eastAsia="ru-RU"/>
        </w:rPr>
        <w:br/>
      </w:r>
      <w:r w:rsidRPr="00FE3616">
        <w:rPr>
          <w:rFonts w:ascii="Times New Roman" w:eastAsia="Times New Roman" w:hAnsi="Times New Roman" w:cs="Times New Roman"/>
          <w:sz w:val="28"/>
          <w:szCs w:val="28"/>
          <w:lang w:eastAsia="ru-RU"/>
        </w:rPr>
        <w:t>№ 274631-7 «О внесении изменений в Налоговый кодекс Российской Федерации и статью 1 Федерального закона от 29 июля 2017 года № 254-ФЗ «О внесении изменений в часть вторую Налогового кодекса Российской Федерации», которым в том числе предусматривается перенос с 1 января 2018 года на 1 января 2019 года даты налогообложения по принципу «двух ключей» движимого имущества организаций, принятого с 1 января 2013 года на учет в качестве основных средств.</w:t>
      </w:r>
    </w:p>
    <w:p w14:paraId="1C75A75B" w14:textId="452527FC" w:rsidR="00FE3616" w:rsidRPr="004C456A" w:rsidRDefault="00FE3616" w:rsidP="00FE361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3616">
        <w:rPr>
          <w:rFonts w:ascii="Times New Roman" w:eastAsia="Times New Roman" w:hAnsi="Times New Roman" w:cs="Times New Roman"/>
          <w:sz w:val="28"/>
          <w:szCs w:val="28"/>
          <w:lang w:eastAsia="ru-RU"/>
        </w:rPr>
        <w:t xml:space="preserve">Таким образом, решение </w:t>
      </w:r>
      <w:r>
        <w:rPr>
          <w:rFonts w:ascii="Times New Roman" w:eastAsia="Times New Roman" w:hAnsi="Times New Roman" w:cs="Times New Roman"/>
          <w:sz w:val="28"/>
          <w:szCs w:val="28"/>
          <w:lang w:eastAsia="ru-RU"/>
        </w:rPr>
        <w:t xml:space="preserve">по </w:t>
      </w:r>
      <w:r w:rsidRPr="00FE3616">
        <w:rPr>
          <w:rFonts w:ascii="Times New Roman" w:eastAsia="Times New Roman" w:hAnsi="Times New Roman" w:cs="Times New Roman"/>
          <w:sz w:val="28"/>
          <w:szCs w:val="28"/>
          <w:lang w:eastAsia="ru-RU"/>
        </w:rPr>
        <w:t>вопросу о налогообложении движимого имущества в регионе переносится на год, но не снимается с повестки основных направлений налоговой политики 2018-2020 годов.</w:t>
      </w:r>
    </w:p>
    <w:p w14:paraId="281C01A2" w14:textId="4BEAF774"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5. Дополнительно, в соответствии с постановлением Правительства Р</w:t>
      </w:r>
      <w:r w:rsidR="002B0AE3">
        <w:rPr>
          <w:rFonts w:ascii="Times New Roman" w:eastAsia="Times New Roman" w:hAnsi="Times New Roman" w:cs="Times New Roman"/>
          <w:sz w:val="28"/>
          <w:szCs w:val="28"/>
          <w:lang w:eastAsia="ru-RU"/>
        </w:rPr>
        <w:t>оссийской Федерации</w:t>
      </w:r>
      <w:r w:rsidRPr="004C456A">
        <w:rPr>
          <w:rFonts w:ascii="Times New Roman" w:eastAsia="Times New Roman" w:hAnsi="Times New Roman" w:cs="Times New Roman"/>
          <w:sz w:val="28"/>
          <w:szCs w:val="28"/>
          <w:lang w:eastAsia="ru-RU"/>
        </w:rPr>
        <w:t xml:space="preserve"> от 27 декабря 2016 года № 1506, Соглашением о предоставлении дотации на выравнивание бюджетной обеспеченности субъектов Р</w:t>
      </w:r>
      <w:r w:rsidR="002B0AE3">
        <w:rPr>
          <w:rFonts w:ascii="Times New Roman" w:eastAsia="Times New Roman" w:hAnsi="Times New Roman" w:cs="Times New Roman"/>
          <w:sz w:val="28"/>
          <w:szCs w:val="28"/>
          <w:lang w:eastAsia="ru-RU"/>
        </w:rPr>
        <w:t>оссийской Федерации</w:t>
      </w:r>
      <w:r w:rsidRPr="004C456A">
        <w:rPr>
          <w:rFonts w:ascii="Times New Roman" w:eastAsia="Times New Roman" w:hAnsi="Times New Roman" w:cs="Times New Roman"/>
          <w:sz w:val="28"/>
          <w:szCs w:val="28"/>
          <w:lang w:eastAsia="ru-RU"/>
        </w:rPr>
        <w:t xml:space="preserve"> из федерального бюджета бюджету Иркутской области от 22 февраля 2017 года </w:t>
      </w:r>
      <w:r w:rsidR="002B0AE3">
        <w:rPr>
          <w:rFonts w:ascii="Times New Roman" w:eastAsia="Times New Roman" w:hAnsi="Times New Roman" w:cs="Times New Roman"/>
          <w:sz w:val="28"/>
          <w:szCs w:val="28"/>
          <w:lang w:eastAsia="ru-RU"/>
        </w:rPr>
        <w:br/>
      </w:r>
      <w:r w:rsidRPr="004C456A">
        <w:rPr>
          <w:rFonts w:ascii="Times New Roman" w:eastAsia="Times New Roman" w:hAnsi="Times New Roman" w:cs="Times New Roman"/>
          <w:sz w:val="28"/>
          <w:szCs w:val="28"/>
          <w:lang w:eastAsia="ru-RU"/>
        </w:rPr>
        <w:t xml:space="preserve">№ 01-01-06/06-62 Правительством Иркутской области </w:t>
      </w:r>
      <w:r w:rsidR="002B0AE3">
        <w:rPr>
          <w:rFonts w:ascii="Times New Roman" w:eastAsia="Times New Roman" w:hAnsi="Times New Roman" w:cs="Times New Roman"/>
          <w:sz w:val="28"/>
          <w:szCs w:val="28"/>
          <w:lang w:eastAsia="ru-RU"/>
        </w:rPr>
        <w:t>был утвержден План</w:t>
      </w:r>
      <w:r w:rsidRPr="004C456A">
        <w:rPr>
          <w:rFonts w:ascii="Times New Roman" w:eastAsia="Times New Roman" w:hAnsi="Times New Roman" w:cs="Times New Roman"/>
          <w:sz w:val="28"/>
          <w:szCs w:val="28"/>
          <w:lang w:eastAsia="ru-RU"/>
        </w:rPr>
        <w:t xml:space="preserve"> по устранению с 1 января 2018 года неэффективных льгот (пониженных ставок по налогам), которым в том числе предусматривается устранение с 1 января 2018 года невостребованных и(или) неэффективных региональных налоговых льгот, а также переход к адресному предоставлению налоговых льгот</w:t>
      </w:r>
      <w:r w:rsidR="002B0AE3" w:rsidRPr="002B0AE3">
        <w:rPr>
          <w:rFonts w:ascii="Times New Roman" w:eastAsia="Times New Roman" w:hAnsi="Times New Roman" w:cs="Times New Roman"/>
          <w:sz w:val="28"/>
          <w:szCs w:val="28"/>
          <w:lang w:eastAsia="ru-RU"/>
        </w:rPr>
        <w:t xml:space="preserve"> </w:t>
      </w:r>
      <w:r w:rsidR="002B0AE3">
        <w:rPr>
          <w:rFonts w:ascii="Times New Roman" w:eastAsia="Times New Roman" w:hAnsi="Times New Roman" w:cs="Times New Roman"/>
          <w:sz w:val="28"/>
          <w:szCs w:val="28"/>
          <w:lang w:eastAsia="ru-RU"/>
        </w:rPr>
        <w:t>(</w:t>
      </w:r>
      <w:r w:rsidR="002B0AE3" w:rsidRPr="004C456A">
        <w:rPr>
          <w:rFonts w:ascii="Times New Roman" w:eastAsia="Times New Roman" w:hAnsi="Times New Roman" w:cs="Times New Roman"/>
          <w:sz w:val="28"/>
          <w:szCs w:val="28"/>
          <w:lang w:eastAsia="ru-RU"/>
        </w:rPr>
        <w:t>распоряжение Правительства Иркутской области от 29 июня 2017 года № 358-рп</w:t>
      </w:r>
      <w:r w:rsidR="002B0AE3">
        <w:rPr>
          <w:rFonts w:ascii="Times New Roman" w:eastAsia="Times New Roman" w:hAnsi="Times New Roman" w:cs="Times New Roman"/>
          <w:sz w:val="28"/>
          <w:szCs w:val="28"/>
          <w:lang w:eastAsia="ru-RU"/>
        </w:rPr>
        <w:t>)</w:t>
      </w:r>
      <w:r w:rsidRPr="004C456A">
        <w:rPr>
          <w:rFonts w:ascii="Times New Roman" w:eastAsia="Times New Roman" w:hAnsi="Times New Roman" w:cs="Times New Roman"/>
          <w:sz w:val="28"/>
          <w:szCs w:val="28"/>
          <w:lang w:eastAsia="ru-RU"/>
        </w:rPr>
        <w:t>.</w:t>
      </w:r>
    </w:p>
    <w:p w14:paraId="55776078" w14:textId="232AD06C"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Действующая в настоящее время система налоговых льгот обладает рядом недостатков и несоответствий требовани</w:t>
      </w:r>
      <w:r w:rsidR="00FE3616">
        <w:rPr>
          <w:rFonts w:ascii="Times New Roman" w:eastAsia="Times New Roman" w:hAnsi="Times New Roman" w:cs="Times New Roman"/>
          <w:sz w:val="28"/>
          <w:szCs w:val="28"/>
          <w:lang w:eastAsia="ru-RU"/>
        </w:rPr>
        <w:t>ям</w:t>
      </w:r>
      <w:r w:rsidRPr="004C456A">
        <w:rPr>
          <w:rFonts w:ascii="Times New Roman" w:eastAsia="Times New Roman" w:hAnsi="Times New Roman" w:cs="Times New Roman"/>
          <w:sz w:val="28"/>
          <w:szCs w:val="28"/>
          <w:lang w:eastAsia="ru-RU"/>
        </w:rPr>
        <w:t xml:space="preserve"> федерального центра</w:t>
      </w:r>
      <w:r w:rsidR="00FE3616">
        <w:rPr>
          <w:rFonts w:ascii="Times New Roman" w:eastAsia="Times New Roman" w:hAnsi="Times New Roman" w:cs="Times New Roman"/>
          <w:sz w:val="28"/>
          <w:szCs w:val="28"/>
          <w:lang w:eastAsia="ru-RU"/>
        </w:rPr>
        <w:t>:</w:t>
      </w:r>
    </w:p>
    <w:p w14:paraId="5FBCB368" w14:textId="7CEF6E66" w:rsidR="004C456A" w:rsidRPr="004C456A" w:rsidRDefault="00FE3616" w:rsidP="00FE3616">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ль</w:t>
      </w:r>
      <w:r w:rsidR="004C456A" w:rsidRPr="004C456A">
        <w:rPr>
          <w:rFonts w:ascii="Times New Roman" w:eastAsia="Times New Roman" w:hAnsi="Times New Roman" w:cs="Times New Roman"/>
          <w:sz w:val="28"/>
          <w:szCs w:val="28"/>
          <w:lang w:eastAsia="ru-RU"/>
        </w:rPr>
        <w:t>готы предоставляются бессрочно</w:t>
      </w:r>
      <w:r>
        <w:rPr>
          <w:rFonts w:ascii="Times New Roman" w:eastAsia="Times New Roman" w:hAnsi="Times New Roman" w:cs="Times New Roman"/>
          <w:sz w:val="28"/>
          <w:szCs w:val="28"/>
          <w:lang w:eastAsia="ru-RU"/>
        </w:rPr>
        <w:t>;</w:t>
      </w:r>
    </w:p>
    <w:p w14:paraId="653B987C" w14:textId="6C05A999" w:rsidR="004C456A" w:rsidRPr="004C456A" w:rsidRDefault="004C456A" w:rsidP="00FE3616">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w:t>
      </w:r>
      <w:r w:rsidRPr="004C456A">
        <w:rPr>
          <w:rFonts w:ascii="Times New Roman" w:eastAsia="Times New Roman" w:hAnsi="Times New Roman" w:cs="Times New Roman"/>
          <w:sz w:val="28"/>
          <w:szCs w:val="28"/>
          <w:lang w:eastAsia="ru-RU"/>
        </w:rPr>
        <w:tab/>
        <w:t xml:space="preserve">Правительство области узнает о </w:t>
      </w:r>
      <w:r w:rsidR="00FF025A">
        <w:rPr>
          <w:rFonts w:ascii="Times New Roman" w:eastAsia="Times New Roman" w:hAnsi="Times New Roman" w:cs="Times New Roman"/>
          <w:sz w:val="28"/>
          <w:szCs w:val="28"/>
          <w:lang w:eastAsia="ru-RU"/>
        </w:rPr>
        <w:t xml:space="preserve"> </w:t>
      </w:r>
      <w:r w:rsidRPr="004C456A">
        <w:rPr>
          <w:rFonts w:ascii="Times New Roman" w:eastAsia="Times New Roman" w:hAnsi="Times New Roman" w:cs="Times New Roman"/>
          <w:sz w:val="28"/>
          <w:szCs w:val="28"/>
          <w:lang w:eastAsia="ru-RU"/>
        </w:rPr>
        <w:t xml:space="preserve">предоставленных </w:t>
      </w:r>
      <w:r w:rsidR="00FF025A">
        <w:rPr>
          <w:rFonts w:ascii="Times New Roman" w:eastAsia="Times New Roman" w:hAnsi="Times New Roman" w:cs="Times New Roman"/>
          <w:sz w:val="28"/>
          <w:szCs w:val="28"/>
          <w:lang w:eastAsia="ru-RU"/>
        </w:rPr>
        <w:t xml:space="preserve"> </w:t>
      </w:r>
      <w:r w:rsidRPr="004C456A">
        <w:rPr>
          <w:rFonts w:ascii="Times New Roman" w:eastAsia="Times New Roman" w:hAnsi="Times New Roman" w:cs="Times New Roman"/>
          <w:sz w:val="28"/>
          <w:szCs w:val="28"/>
          <w:lang w:eastAsia="ru-RU"/>
        </w:rPr>
        <w:t xml:space="preserve">льготах </w:t>
      </w:r>
      <w:r w:rsidR="00FF025A">
        <w:rPr>
          <w:rFonts w:ascii="Times New Roman" w:eastAsia="Times New Roman" w:hAnsi="Times New Roman" w:cs="Times New Roman"/>
          <w:sz w:val="28"/>
          <w:szCs w:val="28"/>
          <w:lang w:eastAsia="ru-RU"/>
        </w:rPr>
        <w:t xml:space="preserve"> </w:t>
      </w:r>
      <w:r w:rsidRPr="004C456A">
        <w:rPr>
          <w:rFonts w:ascii="Times New Roman" w:eastAsia="Times New Roman" w:hAnsi="Times New Roman" w:cs="Times New Roman"/>
          <w:sz w:val="28"/>
          <w:szCs w:val="28"/>
          <w:lang w:eastAsia="ru-RU"/>
        </w:rPr>
        <w:t>де-факто – после их предоставления и не всегда имеет возможность идентифицировать по ОКВЭД организации, получившие преференции</w:t>
      </w:r>
      <w:r w:rsidR="00FE3616">
        <w:rPr>
          <w:rFonts w:ascii="Times New Roman" w:eastAsia="Times New Roman" w:hAnsi="Times New Roman" w:cs="Times New Roman"/>
          <w:sz w:val="28"/>
          <w:szCs w:val="28"/>
          <w:lang w:eastAsia="ru-RU"/>
        </w:rPr>
        <w:t>;</w:t>
      </w:r>
    </w:p>
    <w:p w14:paraId="3A55C8FB" w14:textId="477FA3CB" w:rsidR="004C456A" w:rsidRPr="004C456A" w:rsidRDefault="004C456A" w:rsidP="00FE3616">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w:t>
      </w:r>
      <w:r w:rsidRPr="004C456A">
        <w:rPr>
          <w:rFonts w:ascii="Times New Roman" w:eastAsia="Times New Roman" w:hAnsi="Times New Roman" w:cs="Times New Roman"/>
          <w:sz w:val="28"/>
          <w:szCs w:val="28"/>
          <w:lang w:eastAsia="ru-RU"/>
        </w:rPr>
        <w:tab/>
      </w:r>
      <w:r w:rsidR="00FE3616">
        <w:rPr>
          <w:rFonts w:ascii="Times New Roman" w:eastAsia="Times New Roman" w:hAnsi="Times New Roman" w:cs="Times New Roman"/>
          <w:sz w:val="28"/>
          <w:szCs w:val="28"/>
          <w:lang w:eastAsia="ru-RU"/>
        </w:rPr>
        <w:t>л</w:t>
      </w:r>
      <w:r w:rsidRPr="004C456A">
        <w:rPr>
          <w:rFonts w:ascii="Times New Roman" w:eastAsia="Times New Roman" w:hAnsi="Times New Roman" w:cs="Times New Roman"/>
          <w:sz w:val="28"/>
          <w:szCs w:val="28"/>
          <w:lang w:eastAsia="ru-RU"/>
        </w:rPr>
        <w:t>ьготы предоставляются независимо от налоговой отдачи их получателя даже в случаях значительного снижения налоговых платежей и возвратов переплаты по налогам из бюджета.</w:t>
      </w:r>
    </w:p>
    <w:p w14:paraId="080C094C" w14:textId="64A4C127"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Прорабатываемые в настоящее время предложения по переформатированию системы льгот заключал</w:t>
      </w:r>
      <w:r w:rsidR="00FE3616">
        <w:rPr>
          <w:rFonts w:ascii="Times New Roman" w:eastAsia="Times New Roman" w:hAnsi="Times New Roman" w:cs="Times New Roman"/>
          <w:sz w:val="28"/>
          <w:szCs w:val="28"/>
          <w:lang w:eastAsia="ru-RU"/>
        </w:rPr>
        <w:t>и</w:t>
      </w:r>
      <w:r w:rsidRPr="004C456A">
        <w:rPr>
          <w:rFonts w:ascii="Times New Roman" w:eastAsia="Times New Roman" w:hAnsi="Times New Roman" w:cs="Times New Roman"/>
          <w:sz w:val="28"/>
          <w:szCs w:val="28"/>
          <w:lang w:eastAsia="ru-RU"/>
        </w:rPr>
        <w:t xml:space="preserve">сь в увязке условий их получения с размером прироста налогооблагаемой базы, который бы не позволил областному бюджету нести двойные потери – от предоставления преференций и от снижения их получателем отчислений в бюджет. Другими словами – </w:t>
      </w:r>
      <w:proofErr w:type="spellStart"/>
      <w:r w:rsidRPr="004C456A">
        <w:rPr>
          <w:rFonts w:ascii="Times New Roman" w:eastAsia="Times New Roman" w:hAnsi="Times New Roman" w:cs="Times New Roman"/>
          <w:sz w:val="28"/>
          <w:szCs w:val="28"/>
          <w:lang w:eastAsia="ru-RU"/>
        </w:rPr>
        <w:t>льготополучатель</w:t>
      </w:r>
      <w:proofErr w:type="spellEnd"/>
      <w:r w:rsidRPr="004C456A">
        <w:rPr>
          <w:rFonts w:ascii="Times New Roman" w:eastAsia="Times New Roman" w:hAnsi="Times New Roman" w:cs="Times New Roman"/>
          <w:sz w:val="28"/>
          <w:szCs w:val="28"/>
          <w:lang w:eastAsia="ru-RU"/>
        </w:rPr>
        <w:t>, обеспечивающий рост налогооблагаемой базы вправе пользоваться налоговыми ставками, пониженными до такого уровня, который бы не приводил к ухудшению наполняемости областного бюджета доходами.</w:t>
      </w:r>
    </w:p>
    <w:p w14:paraId="50CD605B" w14:textId="4B0EF228"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 xml:space="preserve">Переход на адресное льготирование, так называемых, «инвестиционных» контрактов позволит точечно определять </w:t>
      </w:r>
      <w:proofErr w:type="spellStart"/>
      <w:r w:rsidRPr="004C456A">
        <w:rPr>
          <w:rFonts w:ascii="Times New Roman" w:eastAsia="Times New Roman" w:hAnsi="Times New Roman" w:cs="Times New Roman"/>
          <w:sz w:val="28"/>
          <w:szCs w:val="28"/>
          <w:lang w:eastAsia="ru-RU"/>
        </w:rPr>
        <w:t>льготополучателей</w:t>
      </w:r>
      <w:proofErr w:type="spellEnd"/>
      <w:r w:rsidRPr="004C456A">
        <w:rPr>
          <w:rFonts w:ascii="Times New Roman" w:eastAsia="Times New Roman" w:hAnsi="Times New Roman" w:cs="Times New Roman"/>
          <w:sz w:val="28"/>
          <w:szCs w:val="28"/>
          <w:lang w:eastAsia="ru-RU"/>
        </w:rPr>
        <w:t xml:space="preserve"> на этапе заключения инвестиционных договоров в отличие от сложившейся в настоящее время практик</w:t>
      </w:r>
      <w:r w:rsidR="00971C0B">
        <w:rPr>
          <w:rFonts w:ascii="Times New Roman" w:eastAsia="Times New Roman" w:hAnsi="Times New Roman" w:cs="Times New Roman"/>
          <w:sz w:val="28"/>
          <w:szCs w:val="28"/>
          <w:lang w:eastAsia="ru-RU"/>
        </w:rPr>
        <w:t>и</w:t>
      </w:r>
      <w:r w:rsidRPr="004C456A">
        <w:rPr>
          <w:rFonts w:ascii="Times New Roman" w:eastAsia="Times New Roman" w:hAnsi="Times New Roman" w:cs="Times New Roman"/>
          <w:sz w:val="28"/>
          <w:szCs w:val="28"/>
          <w:lang w:eastAsia="ru-RU"/>
        </w:rPr>
        <w:t xml:space="preserve"> налогового стимулировани</w:t>
      </w:r>
      <w:r w:rsidR="00971C0B">
        <w:rPr>
          <w:rFonts w:ascii="Times New Roman" w:eastAsia="Times New Roman" w:hAnsi="Times New Roman" w:cs="Times New Roman"/>
          <w:sz w:val="28"/>
          <w:szCs w:val="28"/>
          <w:lang w:eastAsia="ru-RU"/>
        </w:rPr>
        <w:t>я</w:t>
      </w:r>
      <w:r w:rsidRPr="004C456A">
        <w:rPr>
          <w:rFonts w:ascii="Times New Roman" w:eastAsia="Times New Roman" w:hAnsi="Times New Roman" w:cs="Times New Roman"/>
          <w:sz w:val="28"/>
          <w:szCs w:val="28"/>
          <w:lang w:eastAsia="ru-RU"/>
        </w:rPr>
        <w:t xml:space="preserve"> категорий налогоплательщиков. </w:t>
      </w:r>
    </w:p>
    <w:p w14:paraId="71F6624A" w14:textId="3DDB06DA"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Кроме того, существующая система налоговых преференций предусматривает льготу только после выполнения налогоплательщиком определенных требований по инвестициям по их объему или отношению к остаточной стоимости основных средств. То есть льгота предоставляется толь</w:t>
      </w:r>
      <w:r w:rsidR="00E02F92">
        <w:rPr>
          <w:rFonts w:ascii="Times New Roman" w:eastAsia="Times New Roman" w:hAnsi="Times New Roman" w:cs="Times New Roman"/>
          <w:sz w:val="28"/>
          <w:szCs w:val="28"/>
          <w:lang w:eastAsia="ru-RU"/>
        </w:rPr>
        <w:t>ко в налоговом периоде, следующи</w:t>
      </w:r>
      <w:r w:rsidRPr="004C456A">
        <w:rPr>
          <w:rFonts w:ascii="Times New Roman" w:eastAsia="Times New Roman" w:hAnsi="Times New Roman" w:cs="Times New Roman"/>
          <w:sz w:val="28"/>
          <w:szCs w:val="28"/>
          <w:lang w:eastAsia="ru-RU"/>
        </w:rPr>
        <w:t xml:space="preserve">м за годом, в котором налогоплательщик должен нести значительные финансовые потери, что является сдерживающим фактором в первую очередь для, так называемых, </w:t>
      </w:r>
      <w:proofErr w:type="spellStart"/>
      <w:r w:rsidRPr="004C456A">
        <w:rPr>
          <w:rFonts w:ascii="Times New Roman" w:eastAsia="Times New Roman" w:hAnsi="Times New Roman" w:cs="Times New Roman"/>
          <w:sz w:val="28"/>
          <w:szCs w:val="28"/>
          <w:lang w:eastAsia="ru-RU"/>
        </w:rPr>
        <w:t>стартапов</w:t>
      </w:r>
      <w:proofErr w:type="spellEnd"/>
      <w:r w:rsidRPr="004C456A">
        <w:rPr>
          <w:rFonts w:ascii="Times New Roman" w:eastAsia="Times New Roman" w:hAnsi="Times New Roman" w:cs="Times New Roman"/>
          <w:sz w:val="28"/>
          <w:szCs w:val="28"/>
          <w:lang w:eastAsia="ru-RU"/>
        </w:rPr>
        <w:t>, финансовые возможности которых, как правило, ограничены на первоначальном этапе.</w:t>
      </w:r>
    </w:p>
    <w:p w14:paraId="1425ABEB" w14:textId="77777777" w:rsidR="004C456A" w:rsidRP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Льготирование в рамках инвестиционных контрактов даст право на получение льгот авансом, однако при выявлении по итогам налогового (отчетного) периода налогоплательщик может быть лишен преференции при выявлении нарушений им, взятых обязательств по объему инвестиций и налоговых платежей в бюджет.</w:t>
      </w:r>
    </w:p>
    <w:p w14:paraId="1E6C5863" w14:textId="7B4BFCCF" w:rsid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C456A">
        <w:rPr>
          <w:rFonts w:ascii="Times New Roman" w:eastAsia="Times New Roman" w:hAnsi="Times New Roman" w:cs="Times New Roman"/>
          <w:sz w:val="28"/>
          <w:szCs w:val="28"/>
          <w:lang w:eastAsia="ru-RU"/>
        </w:rPr>
        <w:t xml:space="preserve">Для того, чтобы переформатирование системы региональных льгот не стало </w:t>
      </w:r>
      <w:r w:rsidR="00971C0B">
        <w:rPr>
          <w:rFonts w:ascii="Times New Roman" w:eastAsia="Times New Roman" w:hAnsi="Times New Roman" w:cs="Times New Roman"/>
          <w:sz w:val="28"/>
          <w:szCs w:val="28"/>
          <w:lang w:eastAsia="ru-RU"/>
        </w:rPr>
        <w:t>«</w:t>
      </w:r>
      <w:r w:rsidRPr="004C456A">
        <w:rPr>
          <w:rFonts w:ascii="Times New Roman" w:eastAsia="Times New Roman" w:hAnsi="Times New Roman" w:cs="Times New Roman"/>
          <w:sz w:val="28"/>
          <w:szCs w:val="28"/>
          <w:lang w:eastAsia="ru-RU"/>
        </w:rPr>
        <w:t>шоковой терапией</w:t>
      </w:r>
      <w:r w:rsidR="00971C0B">
        <w:rPr>
          <w:rFonts w:ascii="Times New Roman" w:eastAsia="Times New Roman" w:hAnsi="Times New Roman" w:cs="Times New Roman"/>
          <w:sz w:val="28"/>
          <w:szCs w:val="28"/>
          <w:lang w:eastAsia="ru-RU"/>
        </w:rPr>
        <w:t>»</w:t>
      </w:r>
      <w:r w:rsidRPr="004C456A">
        <w:rPr>
          <w:rFonts w:ascii="Times New Roman" w:eastAsia="Times New Roman" w:hAnsi="Times New Roman" w:cs="Times New Roman"/>
          <w:sz w:val="28"/>
          <w:szCs w:val="28"/>
          <w:lang w:eastAsia="ru-RU"/>
        </w:rPr>
        <w:t xml:space="preserve"> для существующих на сегодня </w:t>
      </w:r>
      <w:proofErr w:type="spellStart"/>
      <w:r w:rsidRPr="004C456A">
        <w:rPr>
          <w:rFonts w:ascii="Times New Roman" w:eastAsia="Times New Roman" w:hAnsi="Times New Roman" w:cs="Times New Roman"/>
          <w:sz w:val="28"/>
          <w:szCs w:val="28"/>
          <w:lang w:eastAsia="ru-RU"/>
        </w:rPr>
        <w:t>льготополучателей</w:t>
      </w:r>
      <w:proofErr w:type="spellEnd"/>
      <w:r w:rsidRPr="004C456A">
        <w:rPr>
          <w:rFonts w:ascii="Times New Roman" w:eastAsia="Times New Roman" w:hAnsi="Times New Roman" w:cs="Times New Roman"/>
          <w:sz w:val="28"/>
          <w:szCs w:val="28"/>
          <w:lang w:eastAsia="ru-RU"/>
        </w:rPr>
        <w:t xml:space="preserve"> реформирование регионального налогового законодательства планируется в виде поэтапного замещения действующих преференций и на первом этапе только в отношении налога на прибыль организаций.</w:t>
      </w:r>
    </w:p>
    <w:p w14:paraId="2F1C8C76" w14:textId="0243E719" w:rsidR="004C456A" w:rsidRDefault="004C456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147D9164" w14:textId="55A6BE82" w:rsidR="004C456A" w:rsidRPr="008C05EC" w:rsidRDefault="00697FE1" w:rsidP="008C05EC">
      <w:pPr>
        <w:pStyle w:val="2"/>
        <w:tabs>
          <w:tab w:val="left" w:pos="426"/>
        </w:tabs>
        <w:rPr>
          <w:rFonts w:ascii="Times New Roman" w:eastAsia="Times New Roman" w:hAnsi="Times New Roman" w:cs="Times New Roman"/>
          <w:b/>
          <w:sz w:val="28"/>
          <w:lang w:eastAsia="ru-RU"/>
        </w:rPr>
      </w:pPr>
      <w:bookmarkStart w:id="8" w:name="_Toc496702983"/>
      <w:r w:rsidRPr="008C05EC">
        <w:rPr>
          <w:rFonts w:ascii="Times New Roman" w:eastAsia="Times New Roman" w:hAnsi="Times New Roman" w:cs="Times New Roman"/>
          <w:b/>
          <w:sz w:val="28"/>
          <w:lang w:eastAsia="ru-RU"/>
        </w:rPr>
        <w:t>2.</w:t>
      </w:r>
      <w:r w:rsidR="00894B3B" w:rsidRPr="008C05EC">
        <w:rPr>
          <w:rFonts w:ascii="Times New Roman" w:eastAsia="Times New Roman" w:hAnsi="Times New Roman" w:cs="Times New Roman"/>
          <w:b/>
          <w:sz w:val="28"/>
          <w:lang w:eastAsia="ru-RU"/>
        </w:rPr>
        <w:t xml:space="preserve"> </w:t>
      </w:r>
      <w:r w:rsidR="00837D02" w:rsidRPr="008C05EC">
        <w:rPr>
          <w:rFonts w:ascii="Times New Roman" w:eastAsia="Times New Roman" w:hAnsi="Times New Roman" w:cs="Times New Roman"/>
          <w:b/>
          <w:sz w:val="28"/>
          <w:lang w:eastAsia="ru-RU"/>
        </w:rPr>
        <w:t>Основные направления бюджетной политики Иркутской области на 2018 -2020 годы</w:t>
      </w:r>
      <w:bookmarkEnd w:id="8"/>
      <w:r w:rsidR="00837D02" w:rsidRPr="008C05EC">
        <w:rPr>
          <w:rFonts w:ascii="Times New Roman" w:eastAsia="Times New Roman" w:hAnsi="Times New Roman" w:cs="Times New Roman"/>
          <w:b/>
          <w:sz w:val="28"/>
          <w:lang w:eastAsia="ru-RU"/>
        </w:rPr>
        <w:t xml:space="preserve"> </w:t>
      </w:r>
    </w:p>
    <w:p w14:paraId="1E1007DD" w14:textId="552A1A1C" w:rsidR="00533944" w:rsidRPr="00C72235" w:rsidRDefault="00697FE1" w:rsidP="00894B3B">
      <w:pPr>
        <w:pStyle w:val="3"/>
        <w:rPr>
          <w:rFonts w:ascii="Times New Roman" w:hAnsi="Times New Roman" w:cs="Times New Roman"/>
          <w:i/>
          <w:sz w:val="28"/>
        </w:rPr>
      </w:pPr>
      <w:bookmarkStart w:id="9" w:name="_Toc496702984"/>
      <w:r w:rsidRPr="00C72235">
        <w:rPr>
          <w:rFonts w:ascii="Times New Roman" w:hAnsi="Times New Roman" w:cs="Times New Roman"/>
          <w:i/>
          <w:sz w:val="28"/>
        </w:rPr>
        <w:t xml:space="preserve">2.1 </w:t>
      </w:r>
      <w:r w:rsidR="00837D02" w:rsidRPr="00C72235">
        <w:rPr>
          <w:rFonts w:ascii="Times New Roman" w:hAnsi="Times New Roman" w:cs="Times New Roman"/>
          <w:i/>
          <w:sz w:val="28"/>
        </w:rPr>
        <w:t xml:space="preserve">Финансовое обеспечение </w:t>
      </w:r>
      <w:r w:rsidR="00F625CF" w:rsidRPr="00C72235">
        <w:rPr>
          <w:rFonts w:ascii="Times New Roman" w:hAnsi="Times New Roman" w:cs="Times New Roman"/>
          <w:i/>
          <w:sz w:val="28"/>
        </w:rPr>
        <w:t>пр</w:t>
      </w:r>
      <w:r w:rsidRPr="00C72235">
        <w:rPr>
          <w:rFonts w:ascii="Times New Roman" w:hAnsi="Times New Roman" w:cs="Times New Roman"/>
          <w:i/>
          <w:sz w:val="28"/>
        </w:rPr>
        <w:t>иоритетных направлений расходов</w:t>
      </w:r>
      <w:bookmarkEnd w:id="9"/>
    </w:p>
    <w:p w14:paraId="5D73F211" w14:textId="266619A7" w:rsidR="006A0D85" w:rsidRPr="00FE3616" w:rsidRDefault="00315B22" w:rsidP="00FE361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период </w:t>
      </w:r>
      <w:r w:rsidR="007114D6" w:rsidRPr="00FE3616">
        <w:rPr>
          <w:rFonts w:ascii="Times New Roman" w:eastAsia="Times New Roman" w:hAnsi="Times New Roman" w:cs="Times New Roman"/>
          <w:sz w:val="28"/>
          <w:szCs w:val="28"/>
          <w:lang w:eastAsia="ru-RU"/>
        </w:rPr>
        <w:t>201</w:t>
      </w:r>
      <w:r w:rsidR="000C017F" w:rsidRPr="00FE3616">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-2019 годов </w:t>
      </w:r>
      <w:r w:rsidR="007114D6" w:rsidRPr="00315B22">
        <w:rPr>
          <w:rFonts w:ascii="Times New Roman" w:eastAsia="Times New Roman" w:hAnsi="Times New Roman" w:cs="Times New Roman"/>
          <w:sz w:val="28"/>
          <w:szCs w:val="28"/>
          <w:lang w:eastAsia="ru-RU"/>
        </w:rPr>
        <w:t xml:space="preserve">приходится </w:t>
      </w:r>
      <w:r w:rsidR="00B15363" w:rsidRPr="00315B22">
        <w:rPr>
          <w:rFonts w:ascii="Times New Roman" w:eastAsia="Times New Roman" w:hAnsi="Times New Roman" w:cs="Times New Roman"/>
          <w:sz w:val="28"/>
          <w:szCs w:val="28"/>
          <w:lang w:eastAsia="ru-RU"/>
        </w:rPr>
        <w:t>д</w:t>
      </w:r>
      <w:r w:rsidR="00B15363" w:rsidRPr="00FE3616">
        <w:rPr>
          <w:rFonts w:ascii="Times New Roman" w:eastAsia="Times New Roman" w:hAnsi="Times New Roman" w:cs="Times New Roman"/>
          <w:sz w:val="28"/>
          <w:szCs w:val="28"/>
          <w:lang w:eastAsia="ru-RU"/>
        </w:rPr>
        <w:t>остижени</w:t>
      </w:r>
      <w:r>
        <w:rPr>
          <w:rFonts w:ascii="Times New Roman" w:eastAsia="Times New Roman" w:hAnsi="Times New Roman" w:cs="Times New Roman"/>
          <w:sz w:val="28"/>
          <w:szCs w:val="28"/>
          <w:lang w:eastAsia="ru-RU"/>
        </w:rPr>
        <w:t>е</w:t>
      </w:r>
      <w:r w:rsidR="00B15363" w:rsidRPr="00FE3616">
        <w:rPr>
          <w:rFonts w:ascii="Times New Roman" w:eastAsia="Times New Roman" w:hAnsi="Times New Roman" w:cs="Times New Roman"/>
          <w:sz w:val="28"/>
          <w:szCs w:val="28"/>
          <w:lang w:eastAsia="ru-RU"/>
        </w:rPr>
        <w:t xml:space="preserve"> всех целевых показателей, установленных в</w:t>
      </w:r>
      <w:r w:rsidR="005C25F1" w:rsidRPr="00FE3616">
        <w:rPr>
          <w:rFonts w:ascii="Times New Roman" w:eastAsia="Times New Roman" w:hAnsi="Times New Roman" w:cs="Times New Roman"/>
          <w:sz w:val="28"/>
          <w:szCs w:val="28"/>
          <w:lang w:eastAsia="ru-RU"/>
        </w:rPr>
        <w:t>о исполнение «ма</w:t>
      </w:r>
      <w:r w:rsidR="00B15363" w:rsidRPr="00FE3616">
        <w:rPr>
          <w:rFonts w:ascii="Times New Roman" w:eastAsia="Times New Roman" w:hAnsi="Times New Roman" w:cs="Times New Roman"/>
          <w:sz w:val="28"/>
          <w:szCs w:val="28"/>
          <w:lang w:eastAsia="ru-RU"/>
        </w:rPr>
        <w:t xml:space="preserve">йских» </w:t>
      </w:r>
      <w:r w:rsidR="007114D6" w:rsidRPr="00FE3616">
        <w:rPr>
          <w:rFonts w:ascii="Times New Roman" w:eastAsia="Times New Roman" w:hAnsi="Times New Roman" w:cs="Times New Roman"/>
          <w:sz w:val="28"/>
          <w:szCs w:val="28"/>
          <w:lang w:eastAsia="ru-RU"/>
        </w:rPr>
        <w:t>указов Президента Российской Федерации 2012 года</w:t>
      </w:r>
      <w:r w:rsidR="009B010C" w:rsidRPr="00FE3616">
        <w:rPr>
          <w:rFonts w:ascii="Times New Roman" w:eastAsia="Times New Roman" w:hAnsi="Times New Roman" w:cs="Times New Roman"/>
          <w:sz w:val="28"/>
          <w:szCs w:val="28"/>
          <w:lang w:eastAsia="ru-RU"/>
        </w:rPr>
        <w:t xml:space="preserve">, </w:t>
      </w:r>
      <w:r w:rsidR="006A0D85" w:rsidRPr="00FE3616">
        <w:rPr>
          <w:rFonts w:ascii="Times New Roman" w:eastAsia="Times New Roman" w:hAnsi="Times New Roman" w:cs="Times New Roman"/>
          <w:sz w:val="28"/>
          <w:szCs w:val="28"/>
          <w:lang w:eastAsia="ru-RU"/>
        </w:rPr>
        <w:t>что ведет к необходимости изыскания дополнительных финансовых ресурсов.</w:t>
      </w:r>
    </w:p>
    <w:p w14:paraId="7BFAE1B0" w14:textId="00CF0F5F" w:rsidR="004F74B3" w:rsidRDefault="00533944" w:rsidP="001830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56A74">
        <w:rPr>
          <w:rFonts w:ascii="Times New Roman" w:eastAsia="Times New Roman" w:hAnsi="Times New Roman" w:cs="Times New Roman"/>
          <w:sz w:val="28"/>
          <w:szCs w:val="28"/>
          <w:lang w:eastAsia="ru-RU"/>
        </w:rPr>
        <w:t xml:space="preserve">В рамках исполнения принятых в 2012 году указов Президента Российской Федерации сохраняет свою приоритетность финансирование расходов на повышение оплаты труда отдельным категориям работников бюджетной сферы (указы Президента Российской Федерации от 7 мая 2012 года № 597, от 1 июня 2012 года № 761, от 28 декабря 2012 года № 1688). </w:t>
      </w:r>
      <w:r w:rsidR="001C3417">
        <w:rPr>
          <w:rFonts w:ascii="Times New Roman" w:eastAsia="Times New Roman" w:hAnsi="Times New Roman" w:cs="Times New Roman"/>
          <w:sz w:val="28"/>
          <w:szCs w:val="28"/>
          <w:lang w:eastAsia="ru-RU"/>
        </w:rPr>
        <w:t xml:space="preserve">Это одно из самых затратных для областного бюджета направлений. </w:t>
      </w:r>
      <w:r w:rsidRPr="00056A74">
        <w:rPr>
          <w:rFonts w:ascii="Times New Roman" w:eastAsia="Times New Roman" w:hAnsi="Times New Roman" w:cs="Times New Roman"/>
          <w:sz w:val="28"/>
          <w:szCs w:val="28"/>
          <w:lang w:eastAsia="ru-RU"/>
        </w:rPr>
        <w:t>Реализация данного направления предполагает повышение оплаты труда с учетом прогноза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Иркутской области,    учитывая положения Программы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w:t>
      </w:r>
      <w:r w:rsidR="001830BD">
        <w:rPr>
          <w:rFonts w:ascii="Times New Roman" w:eastAsia="Times New Roman" w:hAnsi="Times New Roman" w:cs="Times New Roman"/>
          <w:sz w:val="28"/>
          <w:szCs w:val="28"/>
          <w:lang w:eastAsia="ru-RU"/>
        </w:rPr>
        <w:t>дерации от 26.11.2012 № 2190-р,</w:t>
      </w:r>
      <w:r w:rsidR="001C3417">
        <w:rPr>
          <w:rFonts w:ascii="Times New Roman" w:eastAsia="Times New Roman" w:hAnsi="Times New Roman" w:cs="Times New Roman"/>
          <w:sz w:val="28"/>
          <w:szCs w:val="28"/>
          <w:lang w:eastAsia="ru-RU"/>
        </w:rPr>
        <w:t xml:space="preserve"> </w:t>
      </w:r>
      <w:r w:rsidR="001830BD" w:rsidRPr="001830BD">
        <w:rPr>
          <w:rFonts w:ascii="Times New Roman" w:eastAsia="Times New Roman" w:hAnsi="Times New Roman" w:cs="Times New Roman"/>
          <w:sz w:val="28"/>
          <w:szCs w:val="28"/>
          <w:lang w:eastAsia="ru-RU"/>
        </w:rPr>
        <w:t>и целевые показатели региональных «дорожных карт».</w:t>
      </w:r>
    </w:p>
    <w:p w14:paraId="3F41DFEA" w14:textId="6E54321F" w:rsidR="004F74B3" w:rsidRDefault="004F74B3"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2018 году на данные цели в областном бюджете планируется </w:t>
      </w:r>
      <w:r w:rsidRPr="001830BD">
        <w:rPr>
          <w:rFonts w:ascii="Times New Roman" w:eastAsia="Times New Roman" w:hAnsi="Times New Roman" w:cs="Times New Roman"/>
          <w:sz w:val="28"/>
          <w:szCs w:val="28"/>
          <w:lang w:eastAsia="ru-RU"/>
        </w:rPr>
        <w:t>предусмотреть около 2</w:t>
      </w:r>
      <w:r w:rsidR="001830BD" w:rsidRPr="001830BD">
        <w:rPr>
          <w:rFonts w:ascii="Times New Roman" w:eastAsia="Times New Roman" w:hAnsi="Times New Roman" w:cs="Times New Roman"/>
          <w:sz w:val="28"/>
          <w:szCs w:val="28"/>
          <w:lang w:eastAsia="ru-RU"/>
        </w:rPr>
        <w:t>,6</w:t>
      </w:r>
      <w:r w:rsidRPr="001830BD">
        <w:rPr>
          <w:rFonts w:ascii="Times New Roman" w:eastAsia="Times New Roman" w:hAnsi="Times New Roman" w:cs="Times New Roman"/>
          <w:sz w:val="28"/>
          <w:szCs w:val="28"/>
          <w:lang w:eastAsia="ru-RU"/>
        </w:rPr>
        <w:t xml:space="preserve"> млрд рублей.</w:t>
      </w:r>
    </w:p>
    <w:p w14:paraId="25CAF5B3" w14:textId="21ECD240" w:rsidR="00533944" w:rsidRPr="00166A34" w:rsidRDefault="00F625CF"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п</w:t>
      </w:r>
      <w:r w:rsidR="004F74B3">
        <w:rPr>
          <w:rFonts w:ascii="Times New Roman" w:eastAsia="Times New Roman" w:hAnsi="Times New Roman" w:cs="Times New Roman"/>
          <w:sz w:val="28"/>
          <w:szCs w:val="28"/>
          <w:lang w:eastAsia="ru-RU"/>
        </w:rPr>
        <w:t>овышение заработной платы</w:t>
      </w:r>
      <w:r w:rsidR="001C3417">
        <w:rPr>
          <w:rFonts w:ascii="Times New Roman" w:eastAsia="Times New Roman" w:hAnsi="Times New Roman" w:cs="Times New Roman"/>
          <w:sz w:val="28"/>
          <w:szCs w:val="28"/>
          <w:lang w:eastAsia="ru-RU"/>
        </w:rPr>
        <w:t xml:space="preserve"> </w:t>
      </w:r>
      <w:r w:rsidR="00533944" w:rsidRPr="00166A34">
        <w:rPr>
          <w:rFonts w:ascii="Times New Roman" w:eastAsia="Times New Roman" w:hAnsi="Times New Roman" w:cs="Times New Roman"/>
          <w:sz w:val="28"/>
          <w:szCs w:val="28"/>
          <w:lang w:eastAsia="ru-RU"/>
        </w:rPr>
        <w:t>предусматривает не только прямое финансирование из областного бюджета, но и использование внутренних ресурсов отраслей, полученных в результате реализации мер по оптимизации расходов и использованию внебюджетных источников, использование механизмов повышения результативности бюджетных расходов, в том числе за счет повышения эффективности использования государственного имущества.</w:t>
      </w:r>
    </w:p>
    <w:p w14:paraId="764090A4" w14:textId="6DCA0F05" w:rsidR="00533944" w:rsidRDefault="00533944"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6A34">
        <w:rPr>
          <w:rFonts w:ascii="Times New Roman" w:eastAsia="Times New Roman" w:hAnsi="Times New Roman" w:cs="Times New Roman"/>
          <w:sz w:val="28"/>
          <w:szCs w:val="28"/>
          <w:lang w:eastAsia="ru-RU"/>
        </w:rPr>
        <w:t>Одновременно с повышением оплаты труда необходимо обеспечивать меры, направленные на повышение производительности труда в бюджетном секторе, реструктуризацию бюджетной сети (по отраслям) при сохранении качества предоставляемых государственных услуг, включая изменение типа существующих учреждений, присоединение отдельных учреждений (объединение нескольких) к другим</w:t>
      </w:r>
      <w:r w:rsidR="008123BD">
        <w:rPr>
          <w:rFonts w:ascii="Times New Roman" w:eastAsia="Times New Roman" w:hAnsi="Times New Roman" w:cs="Times New Roman"/>
          <w:sz w:val="28"/>
          <w:szCs w:val="28"/>
          <w:lang w:eastAsia="ru-RU"/>
        </w:rPr>
        <w:t>.</w:t>
      </w:r>
    </w:p>
    <w:p w14:paraId="511D72A7" w14:textId="2F4232A8" w:rsidR="001C3417" w:rsidRPr="00FE3616" w:rsidRDefault="00F625CF" w:rsidP="00FE361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w:t>
      </w:r>
      <w:r w:rsidRPr="00F625CF">
        <w:rPr>
          <w:rFonts w:ascii="Times New Roman" w:eastAsia="Times New Roman" w:hAnsi="Times New Roman" w:cs="Times New Roman"/>
          <w:sz w:val="28"/>
          <w:szCs w:val="28"/>
          <w:lang w:eastAsia="ru-RU"/>
        </w:rPr>
        <w:t>повышени</w:t>
      </w:r>
      <w:r>
        <w:rPr>
          <w:rFonts w:ascii="Times New Roman" w:eastAsia="Times New Roman" w:hAnsi="Times New Roman" w:cs="Times New Roman"/>
          <w:sz w:val="28"/>
          <w:szCs w:val="28"/>
          <w:lang w:eastAsia="ru-RU"/>
        </w:rPr>
        <w:t>я</w:t>
      </w:r>
      <w:r w:rsidRPr="00F625CF">
        <w:rPr>
          <w:rFonts w:ascii="Times New Roman" w:eastAsia="Times New Roman" w:hAnsi="Times New Roman" w:cs="Times New Roman"/>
          <w:sz w:val="28"/>
          <w:szCs w:val="28"/>
          <w:lang w:eastAsia="ru-RU"/>
        </w:rPr>
        <w:t xml:space="preserve"> уровня </w:t>
      </w:r>
      <w:r w:rsidRPr="00FE3616">
        <w:rPr>
          <w:rFonts w:ascii="Times New Roman" w:eastAsia="Times New Roman" w:hAnsi="Times New Roman" w:cs="Times New Roman"/>
          <w:sz w:val="28"/>
          <w:szCs w:val="28"/>
          <w:lang w:eastAsia="ru-RU"/>
        </w:rPr>
        <w:t>удовлетворенности граждан Российской Федерации качеством предоставления государственных и муниципальных услуг</w:t>
      </w:r>
      <w:r w:rsidR="009D7A5E">
        <w:rPr>
          <w:rFonts w:ascii="Times New Roman" w:eastAsia="Times New Roman" w:hAnsi="Times New Roman" w:cs="Times New Roman"/>
          <w:sz w:val="28"/>
          <w:szCs w:val="28"/>
          <w:lang w:eastAsia="ru-RU"/>
        </w:rPr>
        <w:t>, в том числе по принципу «одного окна»</w:t>
      </w:r>
      <w:r>
        <w:rPr>
          <w:rFonts w:ascii="Times New Roman" w:eastAsia="Times New Roman" w:hAnsi="Times New Roman" w:cs="Times New Roman"/>
          <w:sz w:val="28"/>
          <w:szCs w:val="28"/>
          <w:lang w:eastAsia="ru-RU"/>
        </w:rPr>
        <w:t xml:space="preserve"> в рамках реализации </w:t>
      </w:r>
      <w:r w:rsidRPr="00F625CF">
        <w:rPr>
          <w:rFonts w:ascii="Times New Roman" w:eastAsia="Times New Roman" w:hAnsi="Times New Roman" w:cs="Times New Roman"/>
          <w:sz w:val="28"/>
          <w:szCs w:val="28"/>
          <w:lang w:eastAsia="ru-RU"/>
        </w:rPr>
        <w:t>Указа Президента Российской Федерации от 07.05.2012 № 601 «Об основных направлениях совершенствования системы государственного управления»</w:t>
      </w:r>
      <w:r>
        <w:rPr>
          <w:rFonts w:ascii="Times New Roman" w:eastAsia="Times New Roman" w:hAnsi="Times New Roman" w:cs="Times New Roman"/>
          <w:sz w:val="28"/>
          <w:szCs w:val="28"/>
          <w:lang w:eastAsia="ru-RU"/>
        </w:rPr>
        <w:t xml:space="preserve"> дополнительно будут предусмотрены бюджетные ассигнования на обеспечение деятельности и развитие сети многофункциональных центров.</w:t>
      </w:r>
    </w:p>
    <w:p w14:paraId="7DE441B9" w14:textId="34E9F5B0" w:rsidR="000C017F" w:rsidRPr="00E659F1" w:rsidRDefault="00F625CF" w:rsidP="00FE361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659F1">
        <w:rPr>
          <w:rFonts w:ascii="Times New Roman" w:eastAsia="Times New Roman" w:hAnsi="Times New Roman" w:cs="Times New Roman"/>
          <w:sz w:val="28"/>
          <w:szCs w:val="28"/>
          <w:lang w:eastAsia="ru-RU"/>
        </w:rPr>
        <w:t xml:space="preserve">Учитывая различия в оплате труда работников бюджетной сферы, обусловленные реализацией указов Президента Российской Федерации, в областном бюджете планируется предусмотреть </w:t>
      </w:r>
      <w:r w:rsidR="000C017F" w:rsidRPr="00E659F1">
        <w:rPr>
          <w:rFonts w:ascii="Times New Roman" w:eastAsia="Times New Roman" w:hAnsi="Times New Roman" w:cs="Times New Roman"/>
          <w:sz w:val="28"/>
          <w:szCs w:val="28"/>
          <w:lang w:eastAsia="ru-RU"/>
        </w:rPr>
        <w:t>индексацию заработной платы на 4% работников областных государственных учреждений, на которых не распространяются Указы Президента Российской Федерации, и заработная плата которых не индек</w:t>
      </w:r>
      <w:r w:rsidRPr="00E659F1">
        <w:rPr>
          <w:rFonts w:ascii="Times New Roman" w:eastAsia="Times New Roman" w:hAnsi="Times New Roman" w:cs="Times New Roman"/>
          <w:sz w:val="28"/>
          <w:szCs w:val="28"/>
          <w:lang w:eastAsia="ru-RU"/>
        </w:rPr>
        <w:t>сировалась с 1 января 2014 года.</w:t>
      </w:r>
    </w:p>
    <w:p w14:paraId="26DC625A" w14:textId="1AD63DFB" w:rsidR="00D5032E" w:rsidRPr="00E659F1" w:rsidRDefault="00D5032E" w:rsidP="00FE361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659F1">
        <w:rPr>
          <w:rFonts w:ascii="Times New Roman" w:eastAsia="Times New Roman" w:hAnsi="Times New Roman" w:cs="Times New Roman"/>
          <w:sz w:val="28"/>
          <w:szCs w:val="28"/>
          <w:lang w:eastAsia="ru-RU"/>
        </w:rPr>
        <w:t xml:space="preserve">При планировании бюджетных ассигнований </w:t>
      </w:r>
      <w:r w:rsidR="001830BD">
        <w:rPr>
          <w:rFonts w:ascii="Times New Roman" w:eastAsia="Times New Roman" w:hAnsi="Times New Roman" w:cs="Times New Roman"/>
          <w:sz w:val="28"/>
          <w:szCs w:val="28"/>
          <w:lang w:eastAsia="ru-RU"/>
        </w:rPr>
        <w:t>учтены</w:t>
      </w:r>
      <w:r w:rsidRPr="00E659F1">
        <w:rPr>
          <w:rFonts w:ascii="Times New Roman" w:eastAsia="Times New Roman" w:hAnsi="Times New Roman" w:cs="Times New Roman"/>
          <w:sz w:val="28"/>
          <w:szCs w:val="28"/>
          <w:lang w:eastAsia="ru-RU"/>
        </w:rPr>
        <w:t xml:space="preserve"> положения Регионального соглашения о минимальной заработной плате в Иркутской области от 26.01.2017 № 329 в части установления размера минимальной заработной платы работникам государственных учреждений с 1 января 2018 </w:t>
      </w:r>
      <w:r w:rsidR="001830BD" w:rsidRPr="001830BD">
        <w:rPr>
          <w:rFonts w:ascii="Times New Roman" w:eastAsia="Times New Roman" w:hAnsi="Times New Roman" w:cs="Times New Roman"/>
          <w:sz w:val="28"/>
          <w:szCs w:val="28"/>
          <w:lang w:eastAsia="ru-RU"/>
        </w:rPr>
        <w:t xml:space="preserve">года в размере величины </w:t>
      </w:r>
      <w:r w:rsidRPr="00E659F1">
        <w:rPr>
          <w:rFonts w:ascii="Times New Roman" w:eastAsia="Times New Roman" w:hAnsi="Times New Roman" w:cs="Times New Roman"/>
          <w:sz w:val="28"/>
          <w:szCs w:val="28"/>
          <w:lang w:eastAsia="ru-RU"/>
        </w:rPr>
        <w:t>прожиточного минимума для трудоспособного населения Иркутской области за IV квартал предыдущего года.</w:t>
      </w:r>
    </w:p>
    <w:p w14:paraId="1E04B3CA" w14:textId="6ACBCB01" w:rsidR="00533944" w:rsidRPr="00E659F1" w:rsidRDefault="00B41F34" w:rsidP="00FE361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1 января 2018</w:t>
      </w:r>
      <w:r w:rsidR="00533944" w:rsidRPr="00E659F1">
        <w:rPr>
          <w:rFonts w:ascii="Times New Roman" w:eastAsia="Times New Roman" w:hAnsi="Times New Roman" w:cs="Times New Roman"/>
          <w:sz w:val="28"/>
          <w:szCs w:val="28"/>
          <w:lang w:eastAsia="ru-RU"/>
        </w:rPr>
        <w:t xml:space="preserve"> года предлагается установить размеры ежемесячных денежных выплат и социальных выплат для отдельных категорий граждан</w:t>
      </w:r>
      <w:r w:rsidR="00B56934">
        <w:rPr>
          <w:rFonts w:ascii="Times New Roman" w:eastAsia="Times New Roman" w:hAnsi="Times New Roman" w:cs="Times New Roman"/>
          <w:sz w:val="28"/>
          <w:szCs w:val="28"/>
          <w:lang w:eastAsia="ru-RU"/>
        </w:rPr>
        <w:t>, установленных областным законодательством,</w:t>
      </w:r>
      <w:r w:rsidR="00533944" w:rsidRPr="00E659F1">
        <w:rPr>
          <w:rFonts w:ascii="Times New Roman" w:eastAsia="Times New Roman" w:hAnsi="Times New Roman" w:cs="Times New Roman"/>
          <w:sz w:val="28"/>
          <w:szCs w:val="28"/>
          <w:lang w:eastAsia="ru-RU"/>
        </w:rPr>
        <w:t xml:space="preserve"> с учетом индексации на уровень инфляции, установленный в проекте федерального закона «О федеральном </w:t>
      </w:r>
      <w:r>
        <w:rPr>
          <w:rFonts w:ascii="Times New Roman" w:eastAsia="Times New Roman" w:hAnsi="Times New Roman" w:cs="Times New Roman"/>
          <w:sz w:val="28"/>
          <w:szCs w:val="28"/>
          <w:lang w:eastAsia="ru-RU"/>
        </w:rPr>
        <w:t>бюджете на 2018</w:t>
      </w:r>
      <w:r w:rsidR="00533944" w:rsidRPr="00E659F1">
        <w:rPr>
          <w:rFonts w:ascii="Times New Roman" w:eastAsia="Times New Roman" w:hAnsi="Times New Roman" w:cs="Times New Roman"/>
          <w:sz w:val="28"/>
          <w:szCs w:val="28"/>
          <w:lang w:eastAsia="ru-RU"/>
        </w:rPr>
        <w:t xml:space="preserve"> год и на плановый период 201</w:t>
      </w:r>
      <w:r>
        <w:rPr>
          <w:rFonts w:ascii="Times New Roman" w:eastAsia="Times New Roman" w:hAnsi="Times New Roman" w:cs="Times New Roman"/>
          <w:sz w:val="28"/>
          <w:szCs w:val="28"/>
          <w:lang w:eastAsia="ru-RU"/>
        </w:rPr>
        <w:t xml:space="preserve">9 и 2020 </w:t>
      </w:r>
      <w:r w:rsidR="00533944" w:rsidRPr="00E659F1">
        <w:rPr>
          <w:rFonts w:ascii="Times New Roman" w:eastAsia="Times New Roman" w:hAnsi="Times New Roman" w:cs="Times New Roman"/>
          <w:sz w:val="28"/>
          <w:szCs w:val="28"/>
          <w:lang w:eastAsia="ru-RU"/>
        </w:rPr>
        <w:t>годов», в размере 4,0%.</w:t>
      </w:r>
    </w:p>
    <w:p w14:paraId="1A232874" w14:textId="3EC6BACF" w:rsidR="0019272F" w:rsidRDefault="0019272F" w:rsidP="00FE361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E3616">
        <w:rPr>
          <w:rFonts w:ascii="Times New Roman" w:eastAsia="Times New Roman" w:hAnsi="Times New Roman" w:cs="Times New Roman"/>
          <w:sz w:val="28"/>
          <w:szCs w:val="28"/>
          <w:lang w:eastAsia="ru-RU"/>
        </w:rPr>
        <w:t>Соблюдение требований федерального законодательства в области охраны здоровья граждан и обязательного медицинского страхования</w:t>
      </w:r>
      <w:r w:rsidR="00195C6C" w:rsidRPr="00FE3616">
        <w:rPr>
          <w:rFonts w:ascii="Times New Roman" w:eastAsia="Times New Roman" w:hAnsi="Times New Roman" w:cs="Times New Roman"/>
          <w:sz w:val="28"/>
          <w:szCs w:val="28"/>
          <w:lang w:eastAsia="ru-RU"/>
        </w:rPr>
        <w:t xml:space="preserve"> потребуют увеличения размера с</w:t>
      </w:r>
      <w:r w:rsidRPr="00FE3616">
        <w:rPr>
          <w:rFonts w:ascii="Times New Roman" w:eastAsia="Times New Roman" w:hAnsi="Times New Roman" w:cs="Times New Roman"/>
          <w:sz w:val="28"/>
          <w:szCs w:val="28"/>
          <w:lang w:eastAsia="ru-RU"/>
        </w:rPr>
        <w:t>трахово</w:t>
      </w:r>
      <w:r w:rsidR="00195C6C" w:rsidRPr="00FE3616">
        <w:rPr>
          <w:rFonts w:ascii="Times New Roman" w:eastAsia="Times New Roman" w:hAnsi="Times New Roman" w:cs="Times New Roman"/>
          <w:sz w:val="28"/>
          <w:szCs w:val="28"/>
          <w:lang w:eastAsia="ru-RU"/>
        </w:rPr>
        <w:t>го</w:t>
      </w:r>
      <w:r w:rsidRPr="00FE3616">
        <w:rPr>
          <w:rFonts w:ascii="Times New Roman" w:eastAsia="Times New Roman" w:hAnsi="Times New Roman" w:cs="Times New Roman"/>
          <w:sz w:val="28"/>
          <w:szCs w:val="28"/>
          <w:lang w:eastAsia="ru-RU"/>
        </w:rPr>
        <w:t xml:space="preserve"> взнос</w:t>
      </w:r>
      <w:r w:rsidR="00195C6C" w:rsidRPr="00FE3616">
        <w:rPr>
          <w:rFonts w:ascii="Times New Roman" w:eastAsia="Times New Roman" w:hAnsi="Times New Roman" w:cs="Times New Roman"/>
          <w:sz w:val="28"/>
          <w:szCs w:val="28"/>
          <w:lang w:eastAsia="ru-RU"/>
        </w:rPr>
        <w:t>а</w:t>
      </w:r>
      <w:r w:rsidRPr="00FE3616">
        <w:rPr>
          <w:rFonts w:ascii="Times New Roman" w:eastAsia="Times New Roman" w:hAnsi="Times New Roman" w:cs="Times New Roman"/>
          <w:sz w:val="28"/>
          <w:szCs w:val="28"/>
          <w:lang w:eastAsia="ru-RU"/>
        </w:rPr>
        <w:t xml:space="preserve"> на обязательное медицинское страхование неработающего населения Иркутской области</w:t>
      </w:r>
      <w:r w:rsidR="001830BD" w:rsidRPr="00FE3616">
        <w:rPr>
          <w:rFonts w:ascii="Times New Roman" w:eastAsia="Times New Roman" w:hAnsi="Times New Roman" w:cs="Times New Roman"/>
          <w:sz w:val="28"/>
          <w:szCs w:val="28"/>
          <w:lang w:eastAsia="ru-RU"/>
        </w:rPr>
        <w:t xml:space="preserve"> более чем на 7,2</w:t>
      </w:r>
      <w:r w:rsidR="00195C6C" w:rsidRPr="00FE3616">
        <w:rPr>
          <w:rFonts w:ascii="Times New Roman" w:eastAsia="Times New Roman" w:hAnsi="Times New Roman" w:cs="Times New Roman"/>
          <w:sz w:val="28"/>
          <w:szCs w:val="28"/>
          <w:lang w:eastAsia="ru-RU"/>
        </w:rPr>
        <w:t>%.</w:t>
      </w:r>
    </w:p>
    <w:p w14:paraId="009725C8" w14:textId="77777777" w:rsidR="00505B06" w:rsidRPr="00315B22" w:rsidRDefault="00505B06" w:rsidP="00505B0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05B06">
        <w:rPr>
          <w:rFonts w:ascii="Times New Roman" w:eastAsia="Times New Roman" w:hAnsi="Times New Roman" w:cs="Times New Roman"/>
          <w:sz w:val="28"/>
          <w:szCs w:val="28"/>
          <w:lang w:eastAsia="ru-RU"/>
        </w:rPr>
        <w:t xml:space="preserve">В 2018-2020 годах будет продолжено поэтапное сокращение дефицита Территориальной программы государственных гарантий бесплатного оказания </w:t>
      </w:r>
      <w:r w:rsidRPr="00315B22">
        <w:rPr>
          <w:rFonts w:ascii="Times New Roman" w:eastAsia="Times New Roman" w:hAnsi="Times New Roman" w:cs="Times New Roman"/>
          <w:sz w:val="28"/>
          <w:szCs w:val="28"/>
          <w:lang w:eastAsia="ru-RU"/>
        </w:rPr>
        <w:t xml:space="preserve">гражданам медицинской помощи в Иркутской области. </w:t>
      </w:r>
    </w:p>
    <w:p w14:paraId="6AF2D645" w14:textId="03D0E969" w:rsidR="00E659F1" w:rsidRPr="00315B22" w:rsidRDefault="00B56934" w:rsidP="00505B0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15B22">
        <w:rPr>
          <w:rFonts w:ascii="Times New Roman" w:eastAsia="Times New Roman" w:hAnsi="Times New Roman" w:cs="Times New Roman"/>
          <w:sz w:val="28"/>
          <w:szCs w:val="28"/>
          <w:lang w:eastAsia="ru-RU"/>
        </w:rPr>
        <w:t>Для решения п</w:t>
      </w:r>
      <w:r w:rsidR="00E659F1" w:rsidRPr="00315B22">
        <w:rPr>
          <w:rFonts w:ascii="Times New Roman" w:eastAsia="Times New Roman" w:hAnsi="Times New Roman" w:cs="Times New Roman"/>
          <w:sz w:val="28"/>
          <w:szCs w:val="28"/>
          <w:lang w:eastAsia="ru-RU"/>
        </w:rPr>
        <w:t>оставленны</w:t>
      </w:r>
      <w:r w:rsidRPr="00315B22">
        <w:rPr>
          <w:rFonts w:ascii="Times New Roman" w:eastAsia="Times New Roman" w:hAnsi="Times New Roman" w:cs="Times New Roman"/>
          <w:sz w:val="28"/>
          <w:szCs w:val="28"/>
          <w:lang w:eastAsia="ru-RU"/>
        </w:rPr>
        <w:t>х задач</w:t>
      </w:r>
      <w:r w:rsidR="00E659F1" w:rsidRPr="00315B22">
        <w:rPr>
          <w:rFonts w:ascii="Times New Roman" w:eastAsia="Times New Roman" w:hAnsi="Times New Roman" w:cs="Times New Roman"/>
          <w:sz w:val="28"/>
          <w:szCs w:val="28"/>
          <w:lang w:eastAsia="ru-RU"/>
        </w:rPr>
        <w:t xml:space="preserve"> на федеральном уровне по обеспечению продовольственной безопасности в стране, а также </w:t>
      </w:r>
      <w:r w:rsidR="0019272F" w:rsidRPr="00315B22">
        <w:rPr>
          <w:rFonts w:ascii="Times New Roman" w:eastAsia="Times New Roman" w:hAnsi="Times New Roman" w:cs="Times New Roman"/>
          <w:sz w:val="28"/>
          <w:szCs w:val="28"/>
          <w:lang w:eastAsia="ru-RU"/>
        </w:rPr>
        <w:t>необ</w:t>
      </w:r>
      <w:r w:rsidRPr="00315B22">
        <w:rPr>
          <w:rFonts w:ascii="Times New Roman" w:eastAsia="Times New Roman" w:hAnsi="Times New Roman" w:cs="Times New Roman"/>
          <w:sz w:val="28"/>
          <w:szCs w:val="28"/>
          <w:lang w:eastAsia="ru-RU"/>
        </w:rPr>
        <w:t>ходимости</w:t>
      </w:r>
      <w:r w:rsidR="00E659F1" w:rsidRPr="00315B22">
        <w:rPr>
          <w:rFonts w:ascii="Times New Roman" w:eastAsia="Times New Roman" w:hAnsi="Times New Roman" w:cs="Times New Roman"/>
          <w:sz w:val="28"/>
          <w:szCs w:val="28"/>
          <w:lang w:eastAsia="ru-RU"/>
        </w:rPr>
        <w:t xml:space="preserve"> повышения уровня жизни сельского населения Иркутской области, развития сельской экономики и сельских территорий планируется увеличение расходов </w:t>
      </w:r>
      <w:r w:rsidR="0019272F" w:rsidRPr="00315B22">
        <w:rPr>
          <w:rFonts w:ascii="Times New Roman" w:eastAsia="Times New Roman" w:hAnsi="Times New Roman" w:cs="Times New Roman"/>
          <w:sz w:val="28"/>
          <w:szCs w:val="28"/>
          <w:lang w:eastAsia="ru-RU"/>
        </w:rPr>
        <w:t>на сельское хозяйство</w:t>
      </w:r>
      <w:r w:rsidR="00E659F1" w:rsidRPr="00315B22">
        <w:rPr>
          <w:rFonts w:ascii="Times New Roman" w:eastAsia="Times New Roman" w:hAnsi="Times New Roman" w:cs="Times New Roman"/>
          <w:sz w:val="28"/>
          <w:szCs w:val="28"/>
          <w:lang w:eastAsia="ru-RU"/>
        </w:rPr>
        <w:t xml:space="preserve">, в том числе на реализацию </w:t>
      </w:r>
      <w:r w:rsidRPr="00315B22">
        <w:rPr>
          <w:rFonts w:ascii="Times New Roman" w:eastAsia="Times New Roman" w:hAnsi="Times New Roman" w:cs="Times New Roman"/>
          <w:sz w:val="28"/>
          <w:szCs w:val="28"/>
          <w:lang w:eastAsia="ru-RU"/>
        </w:rPr>
        <w:t>экономически значимых для Иркутской области</w:t>
      </w:r>
      <w:r w:rsidR="00E659F1" w:rsidRPr="00315B22">
        <w:rPr>
          <w:rFonts w:ascii="Times New Roman" w:eastAsia="Times New Roman" w:hAnsi="Times New Roman" w:cs="Times New Roman"/>
          <w:sz w:val="28"/>
          <w:szCs w:val="28"/>
          <w:lang w:eastAsia="ru-RU"/>
        </w:rPr>
        <w:t xml:space="preserve"> проектов</w:t>
      </w:r>
      <w:r w:rsidRPr="00315B22">
        <w:rPr>
          <w:rFonts w:ascii="Times New Roman" w:eastAsia="Times New Roman" w:hAnsi="Times New Roman" w:cs="Times New Roman"/>
          <w:sz w:val="28"/>
          <w:szCs w:val="28"/>
          <w:lang w:eastAsia="ru-RU"/>
        </w:rPr>
        <w:t xml:space="preserve"> и развитие поддержки малых форм хозяйствования на селе, личных подсобных хозяйств с четкой </w:t>
      </w:r>
      <w:r w:rsidR="00505B06" w:rsidRPr="00315B22">
        <w:rPr>
          <w:rFonts w:ascii="Times New Roman" w:eastAsia="Times New Roman" w:hAnsi="Times New Roman" w:cs="Times New Roman"/>
          <w:sz w:val="28"/>
          <w:szCs w:val="28"/>
          <w:lang w:eastAsia="ru-RU"/>
        </w:rPr>
        <w:t>градацией от более крупных форм организаций агропромышленного комплекса</w:t>
      </w:r>
      <w:r w:rsidR="00E659F1" w:rsidRPr="00315B22">
        <w:rPr>
          <w:rFonts w:ascii="Times New Roman" w:eastAsia="Times New Roman" w:hAnsi="Times New Roman" w:cs="Times New Roman"/>
          <w:sz w:val="28"/>
          <w:szCs w:val="28"/>
          <w:lang w:eastAsia="ru-RU"/>
        </w:rPr>
        <w:t>.</w:t>
      </w:r>
    </w:p>
    <w:p w14:paraId="5B767924" w14:textId="6E794072" w:rsidR="00D5032E" w:rsidRDefault="00D5032E" w:rsidP="00FE3616">
      <w:pPr>
        <w:pStyle w:val="a3"/>
        <w:widowControl w:val="0"/>
        <w:numPr>
          <w:ilvl w:val="0"/>
          <w:numId w:val="22"/>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659F1">
        <w:rPr>
          <w:rFonts w:ascii="Times New Roman" w:eastAsia="Times New Roman" w:hAnsi="Times New Roman" w:cs="Times New Roman"/>
          <w:sz w:val="28"/>
          <w:szCs w:val="28"/>
          <w:lang w:eastAsia="ru-RU"/>
        </w:rPr>
        <w:t xml:space="preserve">Улучшение инфраструктуры социальной сферы значительно влияет на </w:t>
      </w:r>
      <w:r w:rsidR="00195C6C">
        <w:rPr>
          <w:rFonts w:ascii="Times New Roman" w:eastAsia="Times New Roman" w:hAnsi="Times New Roman" w:cs="Times New Roman"/>
          <w:sz w:val="28"/>
          <w:szCs w:val="28"/>
          <w:lang w:eastAsia="ru-RU"/>
        </w:rPr>
        <w:t>повышение</w:t>
      </w:r>
      <w:r w:rsidR="00E659F1" w:rsidRPr="00E659F1">
        <w:rPr>
          <w:rFonts w:ascii="Times New Roman" w:eastAsia="Times New Roman" w:hAnsi="Times New Roman" w:cs="Times New Roman"/>
          <w:sz w:val="28"/>
          <w:szCs w:val="28"/>
          <w:lang w:eastAsia="ru-RU"/>
        </w:rPr>
        <w:t xml:space="preserve"> качества оказываемых услуг населению.  </w:t>
      </w:r>
    </w:p>
    <w:p w14:paraId="192A37A2" w14:textId="499703AE" w:rsidR="00E659F1" w:rsidRPr="00E659F1" w:rsidRDefault="00042469" w:rsidP="005B03B9">
      <w:pPr>
        <w:pStyle w:val="a3"/>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659F1">
        <w:rPr>
          <w:rFonts w:ascii="Times New Roman" w:eastAsia="Times New Roman" w:hAnsi="Times New Roman" w:cs="Times New Roman"/>
          <w:sz w:val="28"/>
          <w:szCs w:val="28"/>
          <w:lang w:eastAsia="ru-RU"/>
        </w:rPr>
        <w:t>В 2018-2019 годах объем инвестиций в областные и муниципальные объекты социальной сфер</w:t>
      </w:r>
      <w:r>
        <w:rPr>
          <w:rFonts w:ascii="Times New Roman" w:eastAsia="Times New Roman" w:hAnsi="Times New Roman" w:cs="Times New Roman"/>
          <w:sz w:val="28"/>
          <w:szCs w:val="28"/>
          <w:lang w:eastAsia="ru-RU"/>
        </w:rPr>
        <w:t>ы</w:t>
      </w:r>
      <w:r w:rsidR="001830BD">
        <w:rPr>
          <w:rFonts w:ascii="Times New Roman" w:eastAsia="Times New Roman" w:hAnsi="Times New Roman" w:cs="Times New Roman"/>
          <w:sz w:val="28"/>
          <w:szCs w:val="28"/>
          <w:lang w:eastAsia="ru-RU"/>
        </w:rPr>
        <w:t>, расходы на проведение капитального ремонта</w:t>
      </w:r>
      <w:r w:rsidRPr="00E659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планируется </w:t>
      </w:r>
      <w:r w:rsidRPr="00E659F1">
        <w:rPr>
          <w:rFonts w:ascii="Times New Roman" w:eastAsia="Times New Roman" w:hAnsi="Times New Roman" w:cs="Times New Roman"/>
          <w:sz w:val="28"/>
          <w:szCs w:val="28"/>
          <w:lang w:eastAsia="ru-RU"/>
        </w:rPr>
        <w:t>сохран</w:t>
      </w:r>
      <w:r>
        <w:rPr>
          <w:rFonts w:ascii="Times New Roman" w:eastAsia="Times New Roman" w:hAnsi="Times New Roman" w:cs="Times New Roman"/>
          <w:sz w:val="28"/>
          <w:szCs w:val="28"/>
          <w:lang w:eastAsia="ru-RU"/>
        </w:rPr>
        <w:t>ить в объеме</w:t>
      </w:r>
      <w:r w:rsidRPr="00E659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 ниже </w:t>
      </w:r>
      <w:r w:rsidRPr="00E659F1">
        <w:rPr>
          <w:rFonts w:ascii="Times New Roman" w:eastAsia="Times New Roman" w:hAnsi="Times New Roman" w:cs="Times New Roman"/>
          <w:sz w:val="28"/>
          <w:szCs w:val="28"/>
          <w:lang w:eastAsia="ru-RU"/>
        </w:rPr>
        <w:t>уровн</w:t>
      </w:r>
      <w:r>
        <w:rPr>
          <w:rFonts w:ascii="Times New Roman" w:eastAsia="Times New Roman" w:hAnsi="Times New Roman" w:cs="Times New Roman"/>
          <w:sz w:val="28"/>
          <w:szCs w:val="28"/>
          <w:lang w:eastAsia="ru-RU"/>
        </w:rPr>
        <w:t>я</w:t>
      </w:r>
      <w:r w:rsidRPr="00E659F1">
        <w:rPr>
          <w:rFonts w:ascii="Times New Roman" w:eastAsia="Times New Roman" w:hAnsi="Times New Roman" w:cs="Times New Roman"/>
          <w:sz w:val="28"/>
          <w:szCs w:val="28"/>
          <w:lang w:eastAsia="ru-RU"/>
        </w:rPr>
        <w:t xml:space="preserve"> 2017 года</w:t>
      </w:r>
      <w:r w:rsidR="001830B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03A505BE" w14:textId="20D8DE1A" w:rsidR="00E659F1" w:rsidRPr="00E659F1" w:rsidRDefault="00E659F1" w:rsidP="005B03B9">
      <w:pPr>
        <w:pStyle w:val="a3"/>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659F1">
        <w:rPr>
          <w:rFonts w:ascii="Times New Roman" w:eastAsia="Times New Roman" w:hAnsi="Times New Roman" w:cs="Times New Roman"/>
          <w:sz w:val="28"/>
          <w:szCs w:val="28"/>
          <w:lang w:eastAsia="ru-RU"/>
        </w:rPr>
        <w:t>На ближайшие три года капитальные вложения сосредоточены на завершени</w:t>
      </w:r>
      <w:r w:rsidR="00BE1DE1">
        <w:rPr>
          <w:rFonts w:ascii="Times New Roman" w:eastAsia="Times New Roman" w:hAnsi="Times New Roman" w:cs="Times New Roman"/>
          <w:sz w:val="28"/>
          <w:szCs w:val="28"/>
          <w:lang w:eastAsia="ru-RU"/>
        </w:rPr>
        <w:t>и</w:t>
      </w:r>
      <w:r w:rsidRPr="00E659F1">
        <w:rPr>
          <w:rFonts w:ascii="Times New Roman" w:eastAsia="Times New Roman" w:hAnsi="Times New Roman" w:cs="Times New Roman"/>
          <w:sz w:val="28"/>
          <w:szCs w:val="28"/>
          <w:lang w:eastAsia="ru-RU"/>
        </w:rPr>
        <w:t xml:space="preserve"> </w:t>
      </w:r>
      <w:r w:rsidR="00315B22">
        <w:rPr>
          <w:rFonts w:ascii="Times New Roman" w:eastAsia="Times New Roman" w:hAnsi="Times New Roman" w:cs="Times New Roman"/>
          <w:sz w:val="28"/>
          <w:szCs w:val="28"/>
          <w:lang w:eastAsia="ru-RU"/>
        </w:rPr>
        <w:t xml:space="preserve">строительства (реконструкции) </w:t>
      </w:r>
      <w:r w:rsidRPr="00E659F1">
        <w:rPr>
          <w:rFonts w:ascii="Times New Roman" w:eastAsia="Times New Roman" w:hAnsi="Times New Roman" w:cs="Times New Roman"/>
          <w:sz w:val="28"/>
          <w:szCs w:val="28"/>
          <w:lang w:eastAsia="ru-RU"/>
        </w:rPr>
        <w:t xml:space="preserve">объектов с высокой степенью готовности, прежде всего в жизнеобеспечивающих сферах, объектов, создаваемых (реконструируемых) с целью недопущения чрезвычайных ситуаций, социально значимых объектов, а также </w:t>
      </w:r>
      <w:proofErr w:type="spellStart"/>
      <w:r w:rsidRPr="00E659F1">
        <w:rPr>
          <w:rFonts w:ascii="Times New Roman" w:eastAsia="Times New Roman" w:hAnsi="Times New Roman" w:cs="Times New Roman"/>
          <w:sz w:val="28"/>
          <w:szCs w:val="28"/>
          <w:lang w:eastAsia="ru-RU"/>
        </w:rPr>
        <w:t>софинансируемых</w:t>
      </w:r>
      <w:proofErr w:type="spellEnd"/>
      <w:r w:rsidRPr="00E659F1">
        <w:rPr>
          <w:rFonts w:ascii="Times New Roman" w:eastAsia="Times New Roman" w:hAnsi="Times New Roman" w:cs="Times New Roman"/>
          <w:sz w:val="28"/>
          <w:szCs w:val="28"/>
          <w:lang w:eastAsia="ru-RU"/>
        </w:rPr>
        <w:t xml:space="preserve"> из федерального бюджета.</w:t>
      </w:r>
    </w:p>
    <w:p w14:paraId="6E8AD3EC" w14:textId="0671463B" w:rsidR="00E659F1" w:rsidRDefault="00E659F1" w:rsidP="005B03B9">
      <w:pPr>
        <w:pStyle w:val="a3"/>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659F1">
        <w:rPr>
          <w:rFonts w:ascii="Times New Roman" w:eastAsia="Times New Roman" w:hAnsi="Times New Roman" w:cs="Times New Roman"/>
          <w:sz w:val="28"/>
          <w:szCs w:val="28"/>
          <w:lang w:eastAsia="ru-RU"/>
        </w:rPr>
        <w:t>Включение в государственные программы Иркутской области новых объектов должно основываться на аргументации острой необходимости объекта для развития региона или конкретного муниципального образования, а также с учетом рейтингов муниципальных объектов, сформированных Правительством Иркутской области.</w:t>
      </w:r>
    </w:p>
    <w:p w14:paraId="5D70CC8A" w14:textId="7102ADDD" w:rsidR="00E659F1" w:rsidRDefault="0019272F" w:rsidP="005B03B9">
      <w:pPr>
        <w:pStyle w:val="a3"/>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9272F">
        <w:rPr>
          <w:rFonts w:ascii="Times New Roman" w:eastAsia="Times New Roman" w:hAnsi="Times New Roman" w:cs="Times New Roman"/>
          <w:sz w:val="28"/>
          <w:szCs w:val="28"/>
          <w:lang w:eastAsia="ru-RU"/>
        </w:rPr>
        <w:t xml:space="preserve">При осуществлении бюджетных инвестиций предполагается использование механизмов государственно-частного партнерства, позволяющих </w:t>
      </w:r>
      <w:r w:rsidR="00315B22">
        <w:rPr>
          <w:rFonts w:ascii="Times New Roman" w:eastAsia="Times New Roman" w:hAnsi="Times New Roman" w:cs="Times New Roman"/>
          <w:sz w:val="28"/>
          <w:szCs w:val="28"/>
          <w:lang w:eastAsia="ru-RU"/>
        </w:rPr>
        <w:t xml:space="preserve">перераспределять финансовую нагрузку при реализации дорогостоящих объектов, </w:t>
      </w:r>
      <w:r w:rsidRPr="0019272F">
        <w:rPr>
          <w:rFonts w:ascii="Times New Roman" w:eastAsia="Times New Roman" w:hAnsi="Times New Roman" w:cs="Times New Roman"/>
          <w:sz w:val="28"/>
          <w:szCs w:val="28"/>
          <w:lang w:eastAsia="ru-RU"/>
        </w:rPr>
        <w:t>привлечь инвестиции и услуги частных компаний</w:t>
      </w:r>
      <w:r w:rsidR="00315B22">
        <w:rPr>
          <w:rFonts w:ascii="Times New Roman" w:eastAsia="Times New Roman" w:hAnsi="Times New Roman" w:cs="Times New Roman"/>
          <w:sz w:val="28"/>
          <w:szCs w:val="28"/>
          <w:lang w:eastAsia="ru-RU"/>
        </w:rPr>
        <w:t>, в том числе</w:t>
      </w:r>
      <w:r w:rsidRPr="0019272F">
        <w:rPr>
          <w:rFonts w:ascii="Times New Roman" w:eastAsia="Times New Roman" w:hAnsi="Times New Roman" w:cs="Times New Roman"/>
          <w:sz w:val="28"/>
          <w:szCs w:val="28"/>
          <w:lang w:eastAsia="ru-RU"/>
        </w:rPr>
        <w:t xml:space="preserve"> </w:t>
      </w:r>
      <w:r w:rsidR="00315B22">
        <w:rPr>
          <w:rFonts w:ascii="Times New Roman" w:eastAsia="Times New Roman" w:hAnsi="Times New Roman" w:cs="Times New Roman"/>
          <w:sz w:val="28"/>
          <w:szCs w:val="28"/>
          <w:lang w:eastAsia="ru-RU"/>
        </w:rPr>
        <w:t xml:space="preserve">с целью сокращения сроков строительства в условиях бюджетных ограничений, </w:t>
      </w:r>
      <w:r w:rsidRPr="0019272F">
        <w:rPr>
          <w:rFonts w:ascii="Times New Roman" w:eastAsia="Times New Roman" w:hAnsi="Times New Roman" w:cs="Times New Roman"/>
          <w:sz w:val="28"/>
          <w:szCs w:val="28"/>
          <w:lang w:eastAsia="ru-RU"/>
        </w:rPr>
        <w:t>для решения государственных задач</w:t>
      </w:r>
      <w:r>
        <w:rPr>
          <w:rFonts w:ascii="Times New Roman" w:eastAsia="Times New Roman" w:hAnsi="Times New Roman" w:cs="Times New Roman"/>
          <w:sz w:val="28"/>
          <w:szCs w:val="28"/>
          <w:lang w:eastAsia="ru-RU"/>
        </w:rPr>
        <w:t>.</w:t>
      </w:r>
    </w:p>
    <w:p w14:paraId="11F7CB25" w14:textId="262DC631" w:rsidR="00042469" w:rsidRDefault="00042469" w:rsidP="00FE3616">
      <w:pPr>
        <w:pStyle w:val="a3"/>
        <w:widowControl w:val="0"/>
        <w:numPr>
          <w:ilvl w:val="0"/>
          <w:numId w:val="22"/>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42469">
        <w:rPr>
          <w:rFonts w:ascii="Times New Roman" w:eastAsia="Times New Roman" w:hAnsi="Times New Roman" w:cs="Times New Roman"/>
          <w:sz w:val="28"/>
          <w:szCs w:val="28"/>
          <w:lang w:eastAsia="ru-RU"/>
        </w:rPr>
        <w:t xml:space="preserve">Отдельной задачей при реализации бюджетной политики является выполнение условий по </w:t>
      </w:r>
      <w:r w:rsidR="00373E04">
        <w:rPr>
          <w:rFonts w:ascii="Times New Roman" w:eastAsia="Times New Roman" w:hAnsi="Times New Roman" w:cs="Times New Roman"/>
          <w:sz w:val="28"/>
          <w:szCs w:val="28"/>
          <w:lang w:eastAsia="ru-RU"/>
        </w:rPr>
        <w:t xml:space="preserve">финансовому обеспечению </w:t>
      </w:r>
      <w:r w:rsidRPr="00042469">
        <w:rPr>
          <w:rFonts w:ascii="Times New Roman" w:eastAsia="Times New Roman" w:hAnsi="Times New Roman" w:cs="Times New Roman"/>
          <w:sz w:val="28"/>
          <w:szCs w:val="28"/>
          <w:lang w:eastAsia="ru-RU"/>
        </w:rPr>
        <w:t xml:space="preserve">расходных обязательств Иркутской области, </w:t>
      </w:r>
      <w:proofErr w:type="spellStart"/>
      <w:r w:rsidR="00373E04">
        <w:rPr>
          <w:rFonts w:ascii="Times New Roman" w:eastAsia="Times New Roman" w:hAnsi="Times New Roman" w:cs="Times New Roman"/>
          <w:sz w:val="28"/>
          <w:szCs w:val="28"/>
          <w:lang w:eastAsia="ru-RU"/>
        </w:rPr>
        <w:t>софинансируемых</w:t>
      </w:r>
      <w:proofErr w:type="spellEnd"/>
      <w:r w:rsidR="00373E04">
        <w:rPr>
          <w:rFonts w:ascii="Times New Roman" w:eastAsia="Times New Roman" w:hAnsi="Times New Roman" w:cs="Times New Roman"/>
          <w:sz w:val="28"/>
          <w:szCs w:val="28"/>
          <w:lang w:eastAsia="ru-RU"/>
        </w:rPr>
        <w:t xml:space="preserve"> </w:t>
      </w:r>
      <w:r w:rsidRPr="00042469">
        <w:rPr>
          <w:rFonts w:ascii="Times New Roman" w:eastAsia="Times New Roman" w:hAnsi="Times New Roman" w:cs="Times New Roman"/>
          <w:sz w:val="28"/>
          <w:szCs w:val="28"/>
          <w:lang w:eastAsia="ru-RU"/>
        </w:rPr>
        <w:t>из федерального бюджета</w:t>
      </w:r>
      <w:r w:rsidR="00373E04">
        <w:rPr>
          <w:rFonts w:ascii="Times New Roman" w:eastAsia="Times New Roman" w:hAnsi="Times New Roman" w:cs="Times New Roman"/>
          <w:sz w:val="28"/>
          <w:szCs w:val="28"/>
          <w:lang w:eastAsia="ru-RU"/>
        </w:rPr>
        <w:t>.</w:t>
      </w:r>
    </w:p>
    <w:p w14:paraId="594DBBAC" w14:textId="5CBEAD1A" w:rsidR="00373E04" w:rsidRPr="00042469" w:rsidRDefault="00373E04" w:rsidP="005B03B9">
      <w:pPr>
        <w:pStyle w:val="a3"/>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Учитывая возможность распределения субсидий из федерального бюджета при его рассмотрении во втором чтении, а также в процессе исполнения бюджета, планируется в областном бюджете создать резерв средств для последующего распределения в случае участия Иркутской области в реализации отдельных мероприятий государственных программ Российской Федерации.</w:t>
      </w:r>
    </w:p>
    <w:p w14:paraId="32F60C32" w14:textId="1253AD90" w:rsidR="00E659F1" w:rsidRDefault="00042469" w:rsidP="005B03B9">
      <w:pPr>
        <w:pStyle w:val="a3"/>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42469">
        <w:rPr>
          <w:rFonts w:ascii="Times New Roman" w:eastAsia="Times New Roman" w:hAnsi="Times New Roman" w:cs="Times New Roman"/>
          <w:sz w:val="28"/>
          <w:szCs w:val="28"/>
          <w:lang w:eastAsia="ru-RU"/>
        </w:rPr>
        <w:t>Принятые решения об участии в государственных программах Российской Федерации должны быть детально просчитаны, запрашиваемые бюджетные ресурсы - иметь реальную потребность и высокую эффективность их использования</w:t>
      </w:r>
      <w:r w:rsidR="00373E04">
        <w:rPr>
          <w:rFonts w:ascii="Times New Roman" w:eastAsia="Times New Roman" w:hAnsi="Times New Roman" w:cs="Times New Roman"/>
          <w:sz w:val="28"/>
          <w:szCs w:val="28"/>
          <w:lang w:eastAsia="ru-RU"/>
        </w:rPr>
        <w:t>.</w:t>
      </w:r>
    </w:p>
    <w:p w14:paraId="412FB188" w14:textId="77777777" w:rsidR="00D24500" w:rsidRPr="00C72235" w:rsidRDefault="00D24500" w:rsidP="00697FE1">
      <w:pPr>
        <w:pStyle w:val="af"/>
        <w:rPr>
          <w:rFonts w:ascii="Times New Roman" w:eastAsia="Times New Roman" w:hAnsi="Times New Roman" w:cs="Times New Roman"/>
          <w:i/>
          <w:sz w:val="6"/>
          <w:lang w:eastAsia="ru-RU"/>
        </w:rPr>
      </w:pPr>
    </w:p>
    <w:p w14:paraId="48917163" w14:textId="2AD22B51" w:rsidR="00D94134" w:rsidRPr="00C72235" w:rsidRDefault="00D24500" w:rsidP="00894B3B">
      <w:pPr>
        <w:pStyle w:val="3"/>
        <w:rPr>
          <w:rFonts w:ascii="Times New Roman" w:hAnsi="Times New Roman" w:cs="Times New Roman"/>
          <w:i/>
          <w:sz w:val="28"/>
        </w:rPr>
      </w:pPr>
      <w:bookmarkStart w:id="10" w:name="_Toc496702985"/>
      <w:r w:rsidRPr="00C72235">
        <w:rPr>
          <w:rFonts w:ascii="Times New Roman" w:hAnsi="Times New Roman" w:cs="Times New Roman"/>
          <w:i/>
          <w:sz w:val="28"/>
        </w:rPr>
        <w:t xml:space="preserve">2.2 </w:t>
      </w:r>
      <w:r w:rsidR="00D94134" w:rsidRPr="00C72235">
        <w:rPr>
          <w:rFonts w:ascii="Times New Roman" w:hAnsi="Times New Roman" w:cs="Times New Roman"/>
          <w:i/>
          <w:sz w:val="28"/>
        </w:rPr>
        <w:t>Оптимизация расходов областного бюджета и пов</w:t>
      </w:r>
      <w:r w:rsidR="00F539AD" w:rsidRPr="00C72235">
        <w:rPr>
          <w:rFonts w:ascii="Times New Roman" w:hAnsi="Times New Roman" w:cs="Times New Roman"/>
          <w:i/>
          <w:sz w:val="28"/>
        </w:rPr>
        <w:t>ы</w:t>
      </w:r>
      <w:r w:rsidR="00D94134" w:rsidRPr="00C72235">
        <w:rPr>
          <w:rFonts w:ascii="Times New Roman" w:hAnsi="Times New Roman" w:cs="Times New Roman"/>
          <w:i/>
          <w:sz w:val="28"/>
        </w:rPr>
        <w:t>шение эффективности использования бюджетных средств</w:t>
      </w:r>
      <w:bookmarkEnd w:id="10"/>
      <w:r w:rsidR="00D94134" w:rsidRPr="00C72235">
        <w:rPr>
          <w:rFonts w:ascii="Times New Roman" w:hAnsi="Times New Roman" w:cs="Times New Roman"/>
          <w:i/>
          <w:sz w:val="28"/>
        </w:rPr>
        <w:t xml:space="preserve"> </w:t>
      </w:r>
    </w:p>
    <w:p w14:paraId="68B6F98E" w14:textId="46A89CB1" w:rsidR="009E5C1F" w:rsidRDefault="009E5C1F" w:rsidP="005B03B9">
      <w:pPr>
        <w:widowControl w:val="0"/>
        <w:autoSpaceDE w:val="0"/>
        <w:autoSpaceDN w:val="0"/>
        <w:adjustRightInd w:val="0"/>
        <w:spacing w:after="0" w:line="240" w:lineRule="auto"/>
        <w:ind w:firstLine="709"/>
        <w:contextualSpacing/>
        <w:jc w:val="both"/>
      </w:pPr>
      <w:r w:rsidRPr="00166A34">
        <w:rPr>
          <w:rFonts w:ascii="Times New Roman" w:eastAsia="Times New Roman" w:hAnsi="Times New Roman" w:cs="Times New Roman"/>
          <w:sz w:val="28"/>
          <w:szCs w:val="28"/>
          <w:lang w:eastAsia="ru-RU"/>
        </w:rPr>
        <w:t xml:space="preserve">Для концентрации ресурсов в целях финансового обеспечения </w:t>
      </w:r>
      <w:r>
        <w:rPr>
          <w:rFonts w:ascii="Times New Roman" w:eastAsia="Times New Roman" w:hAnsi="Times New Roman" w:cs="Times New Roman"/>
          <w:sz w:val="28"/>
          <w:szCs w:val="28"/>
          <w:lang w:eastAsia="ru-RU"/>
        </w:rPr>
        <w:t xml:space="preserve">приоритетных и первоочередных </w:t>
      </w:r>
      <w:r w:rsidRPr="00166A34">
        <w:rPr>
          <w:rFonts w:ascii="Times New Roman" w:eastAsia="Times New Roman" w:hAnsi="Times New Roman" w:cs="Times New Roman"/>
          <w:sz w:val="28"/>
          <w:szCs w:val="28"/>
          <w:lang w:eastAsia="ru-RU"/>
        </w:rPr>
        <w:t>направлений</w:t>
      </w:r>
      <w:r>
        <w:rPr>
          <w:rFonts w:ascii="Times New Roman" w:eastAsia="Times New Roman" w:hAnsi="Times New Roman" w:cs="Times New Roman"/>
          <w:sz w:val="28"/>
          <w:szCs w:val="28"/>
          <w:lang w:eastAsia="ru-RU"/>
        </w:rPr>
        <w:t xml:space="preserve"> расходования бюджетных средств </w:t>
      </w:r>
      <w:r w:rsidRPr="00166A34">
        <w:rPr>
          <w:rFonts w:ascii="Times New Roman" w:eastAsia="Times New Roman" w:hAnsi="Times New Roman" w:cs="Times New Roman"/>
          <w:sz w:val="28"/>
          <w:szCs w:val="28"/>
          <w:lang w:eastAsia="ru-RU"/>
        </w:rPr>
        <w:t>планируется продолжить работу</w:t>
      </w:r>
      <w:r>
        <w:rPr>
          <w:rFonts w:ascii="Times New Roman" w:eastAsia="Times New Roman" w:hAnsi="Times New Roman" w:cs="Times New Roman"/>
          <w:sz w:val="28"/>
          <w:szCs w:val="28"/>
          <w:lang w:eastAsia="ru-RU"/>
        </w:rPr>
        <w:t xml:space="preserve"> </w:t>
      </w:r>
      <w:r w:rsidRPr="00166A34">
        <w:rPr>
          <w:rFonts w:ascii="Times New Roman" w:eastAsia="Times New Roman" w:hAnsi="Times New Roman" w:cs="Times New Roman"/>
          <w:sz w:val="28"/>
          <w:szCs w:val="28"/>
          <w:lang w:eastAsia="ru-RU"/>
        </w:rPr>
        <w:t xml:space="preserve">по оптимизации структуры расходов, а также </w:t>
      </w:r>
      <w:r>
        <w:rPr>
          <w:rFonts w:ascii="Times New Roman" w:eastAsia="Times New Roman" w:hAnsi="Times New Roman" w:cs="Times New Roman"/>
          <w:sz w:val="28"/>
          <w:szCs w:val="28"/>
          <w:lang w:eastAsia="ru-RU"/>
        </w:rPr>
        <w:t>повышению качества планирования и использования средств бюджета. Основными мероприятиями реализации данных направлений бюджетной политики Иркутской области являются:</w:t>
      </w:r>
    </w:p>
    <w:p w14:paraId="638A6ED1" w14:textId="06077F9A" w:rsidR="009E5C1F" w:rsidRPr="00EB117B" w:rsidRDefault="009E5C1F"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 xml:space="preserve">Оптимизация видов социальных выплат и мер социальной поддержки отдельным категориям граждан с соблюдением принципа нуждаемости и адресного подхода. </w:t>
      </w:r>
    </w:p>
    <w:p w14:paraId="369DEF5B" w14:textId="77777777" w:rsidR="00FD785C" w:rsidRPr="00EB117B" w:rsidRDefault="00FD785C"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Повышение эффективности использования целевых межбюджетных трансфертов из федерального бюджета.</w:t>
      </w:r>
    </w:p>
    <w:p w14:paraId="4C8FDF76" w14:textId="63F45105" w:rsidR="00531C87" w:rsidRPr="00EB117B" w:rsidRDefault="0097112D"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С 2016 года</w:t>
      </w:r>
      <w:r w:rsidR="00531C87" w:rsidRPr="00EB117B">
        <w:rPr>
          <w:rFonts w:ascii="Times New Roman" w:hAnsi="Times New Roman" w:cs="Times New Roman"/>
          <w:sz w:val="28"/>
          <w:szCs w:val="28"/>
        </w:rPr>
        <w:t xml:space="preserve"> в полной мере вступили в силу положения Правил формирования, предоставления и распределения субсидий из федерального бюджета бюджетам субъектов, предусматривающие возврат средств в федеральный бюджет в случае нарушения обязательств по достижению показателей результативности использования субсидий и</w:t>
      </w:r>
      <w:r w:rsidRPr="00EB117B">
        <w:rPr>
          <w:rFonts w:ascii="Times New Roman" w:hAnsi="Times New Roman" w:cs="Times New Roman"/>
          <w:sz w:val="28"/>
          <w:szCs w:val="28"/>
        </w:rPr>
        <w:t>(</w:t>
      </w:r>
      <w:r w:rsidR="00531C87" w:rsidRPr="00EB117B">
        <w:rPr>
          <w:rFonts w:ascii="Times New Roman" w:hAnsi="Times New Roman" w:cs="Times New Roman"/>
          <w:sz w:val="28"/>
          <w:szCs w:val="28"/>
        </w:rPr>
        <w:t>или</w:t>
      </w:r>
      <w:r w:rsidRPr="00EB117B">
        <w:rPr>
          <w:rFonts w:ascii="Times New Roman" w:hAnsi="Times New Roman" w:cs="Times New Roman"/>
          <w:sz w:val="28"/>
          <w:szCs w:val="28"/>
        </w:rPr>
        <w:t>)</w:t>
      </w:r>
      <w:r w:rsidR="00531C87" w:rsidRPr="00EB117B">
        <w:rPr>
          <w:rFonts w:ascii="Times New Roman" w:hAnsi="Times New Roman" w:cs="Times New Roman"/>
          <w:sz w:val="28"/>
          <w:szCs w:val="28"/>
        </w:rPr>
        <w:t xml:space="preserve"> графика проектирования</w:t>
      </w:r>
      <w:r w:rsidRPr="00EB117B">
        <w:rPr>
          <w:rFonts w:ascii="Times New Roman" w:hAnsi="Times New Roman" w:cs="Times New Roman"/>
          <w:sz w:val="28"/>
          <w:szCs w:val="28"/>
        </w:rPr>
        <w:t>(с</w:t>
      </w:r>
      <w:r w:rsidR="00531C87" w:rsidRPr="00EB117B">
        <w:rPr>
          <w:rFonts w:ascii="Times New Roman" w:hAnsi="Times New Roman" w:cs="Times New Roman"/>
          <w:sz w:val="28"/>
          <w:szCs w:val="28"/>
        </w:rPr>
        <w:t>троительства</w:t>
      </w:r>
      <w:r w:rsidRPr="00EB117B">
        <w:rPr>
          <w:rFonts w:ascii="Times New Roman" w:hAnsi="Times New Roman" w:cs="Times New Roman"/>
          <w:sz w:val="28"/>
          <w:szCs w:val="28"/>
        </w:rPr>
        <w:t xml:space="preserve">). </w:t>
      </w:r>
    </w:p>
    <w:p w14:paraId="3CF0444B" w14:textId="6EB8D5D4" w:rsidR="00EC3733" w:rsidRPr="00EB117B" w:rsidRDefault="0097112D"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 xml:space="preserve">Исполнительным органам государственной власти необходимо принять исчерпывающие меры по выполнению </w:t>
      </w:r>
      <w:r w:rsidR="00EC3733" w:rsidRPr="00EB117B">
        <w:rPr>
          <w:rFonts w:ascii="Times New Roman" w:hAnsi="Times New Roman" w:cs="Times New Roman"/>
          <w:sz w:val="28"/>
          <w:szCs w:val="28"/>
        </w:rPr>
        <w:t xml:space="preserve">целевых показателей, установленных соглашениями о предоставлении субсидий, своевременному использованию привлеченных целевых средств, не </w:t>
      </w:r>
      <w:r w:rsidR="00EC3733" w:rsidRPr="00515BC5">
        <w:rPr>
          <w:rFonts w:ascii="Times New Roman" w:hAnsi="Times New Roman" w:cs="Times New Roman"/>
          <w:sz w:val="28"/>
          <w:szCs w:val="28"/>
        </w:rPr>
        <w:t>допуская уплаты штрафных санкций.</w:t>
      </w:r>
    </w:p>
    <w:p w14:paraId="75C6C1CE" w14:textId="014859FA" w:rsidR="00EC3733" w:rsidRPr="00EB117B" w:rsidRDefault="00EC3733"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Ввести соответствующие показатели эффективности использования субсидий в показатели оценки финансового менеджмента главных ад</w:t>
      </w:r>
      <w:r w:rsidR="00193882">
        <w:rPr>
          <w:rFonts w:ascii="Times New Roman" w:hAnsi="Times New Roman" w:cs="Times New Roman"/>
          <w:sz w:val="28"/>
          <w:szCs w:val="28"/>
        </w:rPr>
        <w:t>министраторов бюджетных средств, с возможным привлечением внебюджетных источников.</w:t>
      </w:r>
    </w:p>
    <w:p w14:paraId="4F285E65" w14:textId="66FB8E2E" w:rsidR="00FD785C" w:rsidRDefault="00FD785C"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Оптимизация расход</w:t>
      </w:r>
      <w:r w:rsidR="00C72235">
        <w:rPr>
          <w:rFonts w:ascii="Times New Roman" w:hAnsi="Times New Roman" w:cs="Times New Roman"/>
          <w:sz w:val="28"/>
          <w:szCs w:val="28"/>
        </w:rPr>
        <w:t>ов на содержание бюджетной сети</w:t>
      </w:r>
      <w:r w:rsidR="006A3A66">
        <w:rPr>
          <w:rFonts w:ascii="Times New Roman" w:hAnsi="Times New Roman" w:cs="Times New Roman"/>
          <w:sz w:val="28"/>
          <w:szCs w:val="28"/>
        </w:rPr>
        <w:t xml:space="preserve"> при сохранении </w:t>
      </w:r>
      <w:r w:rsidR="00D817C2">
        <w:rPr>
          <w:rFonts w:ascii="Times New Roman" w:hAnsi="Times New Roman" w:cs="Times New Roman"/>
          <w:sz w:val="28"/>
          <w:szCs w:val="28"/>
        </w:rPr>
        <w:t xml:space="preserve">доступности и </w:t>
      </w:r>
      <w:r w:rsidR="006A3A66">
        <w:rPr>
          <w:rFonts w:ascii="Times New Roman" w:hAnsi="Times New Roman" w:cs="Times New Roman"/>
          <w:sz w:val="28"/>
          <w:szCs w:val="28"/>
        </w:rPr>
        <w:t>качества оказываемых государственных услуг</w:t>
      </w:r>
      <w:r w:rsidR="00C72235">
        <w:rPr>
          <w:rFonts w:ascii="Times New Roman" w:hAnsi="Times New Roman" w:cs="Times New Roman"/>
          <w:sz w:val="28"/>
          <w:szCs w:val="28"/>
        </w:rPr>
        <w:t>.</w:t>
      </w:r>
    </w:p>
    <w:p w14:paraId="0D220261" w14:textId="6A224521" w:rsidR="00EB117B" w:rsidRDefault="00EB117B"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качества оказания государственных услуг.</w:t>
      </w:r>
    </w:p>
    <w:p w14:paraId="6CC2040D" w14:textId="02DEF5FF" w:rsidR="00EB117B" w:rsidRDefault="00EB117B" w:rsidP="001830BD">
      <w:pPr>
        <w:widowControl w:val="0"/>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действующего бюджетного законодательства подготовлена необходимая нормативная база для </w:t>
      </w:r>
      <w:r w:rsidR="00DA1E5A">
        <w:rPr>
          <w:rFonts w:ascii="Times New Roman" w:hAnsi="Times New Roman" w:cs="Times New Roman"/>
          <w:sz w:val="28"/>
          <w:szCs w:val="28"/>
        </w:rPr>
        <w:t>формирования и ведения регионального перечня государственных и муниципальных услуг (работ), не включенных в общероссийские базовые (отраслевые) перечни, что позволит более оперативно включать новые виды услуг (работ), необходимые для формирования государственного задания</w:t>
      </w:r>
      <w:r w:rsidR="00BE1DE1">
        <w:rPr>
          <w:rFonts w:ascii="Times New Roman" w:hAnsi="Times New Roman" w:cs="Times New Roman"/>
          <w:sz w:val="28"/>
          <w:szCs w:val="28"/>
        </w:rPr>
        <w:t>.</w:t>
      </w:r>
    </w:p>
    <w:p w14:paraId="3E8FDEE6" w14:textId="4F76D9ED" w:rsidR="006C74C4" w:rsidRPr="006C74C4" w:rsidRDefault="006C74C4" w:rsidP="000E5EFB">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Расширение участия социально</w:t>
      </w:r>
      <w:r w:rsidR="00A81375">
        <w:rPr>
          <w:rFonts w:ascii="Times New Roman" w:hAnsi="Times New Roman" w:cs="Times New Roman"/>
          <w:sz w:val="28"/>
          <w:szCs w:val="28"/>
        </w:rPr>
        <w:t xml:space="preserve"> </w:t>
      </w:r>
      <w:r>
        <w:rPr>
          <w:rFonts w:ascii="Times New Roman" w:hAnsi="Times New Roman" w:cs="Times New Roman"/>
          <w:sz w:val="28"/>
          <w:szCs w:val="28"/>
        </w:rPr>
        <w:t>ориентированных некоммерческих организаций в оказании общественно-полезных услуг населению. При этом предоставление финансовых средств из областного бюджета должно осуществляться в соответствии с условиями, закрепленными в типовой форме соглашения о предоставлении субсидий.</w:t>
      </w:r>
    </w:p>
    <w:p w14:paraId="5ABA168A" w14:textId="6D264D6F" w:rsidR="00FD785C" w:rsidRPr="00C72235" w:rsidRDefault="00BE1DE1"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EB117B">
        <w:rPr>
          <w:rFonts w:ascii="Times New Roman" w:hAnsi="Times New Roman" w:cs="Times New Roman"/>
          <w:sz w:val="28"/>
          <w:szCs w:val="28"/>
        </w:rPr>
        <w:t xml:space="preserve">еализации мероприятий, направленных на оптимизацию структуры и штатной </w:t>
      </w:r>
      <w:r w:rsidRPr="00C72235">
        <w:rPr>
          <w:rFonts w:ascii="Times New Roman" w:hAnsi="Times New Roman" w:cs="Times New Roman"/>
          <w:sz w:val="28"/>
          <w:szCs w:val="28"/>
        </w:rPr>
        <w:t xml:space="preserve">численности органов государственной власти Иркутской области, недопущение в дальнейшем ее роста </w:t>
      </w:r>
      <w:r w:rsidR="006C74C4">
        <w:rPr>
          <w:rFonts w:ascii="Times New Roman" w:hAnsi="Times New Roman" w:cs="Times New Roman"/>
          <w:sz w:val="28"/>
          <w:szCs w:val="28"/>
        </w:rPr>
        <w:t xml:space="preserve">за исключением случаев, связанных с </w:t>
      </w:r>
      <w:r w:rsidR="00C72235" w:rsidRPr="00C72235">
        <w:rPr>
          <w:rFonts w:ascii="Times New Roman" w:hAnsi="Times New Roman" w:cs="Times New Roman"/>
          <w:sz w:val="28"/>
          <w:szCs w:val="28"/>
        </w:rPr>
        <w:t>изменени</w:t>
      </w:r>
      <w:r w:rsidR="006C74C4">
        <w:rPr>
          <w:rFonts w:ascii="Times New Roman" w:hAnsi="Times New Roman" w:cs="Times New Roman"/>
          <w:sz w:val="28"/>
          <w:szCs w:val="28"/>
        </w:rPr>
        <w:t>ем</w:t>
      </w:r>
      <w:r w:rsidR="00C72235" w:rsidRPr="00C72235">
        <w:rPr>
          <w:rFonts w:ascii="Times New Roman" w:hAnsi="Times New Roman" w:cs="Times New Roman"/>
          <w:sz w:val="28"/>
          <w:szCs w:val="28"/>
        </w:rPr>
        <w:t xml:space="preserve"> бюджетных полномочий.</w:t>
      </w:r>
    </w:p>
    <w:p w14:paraId="2CAE91B1" w14:textId="156CD86B" w:rsidR="004D7A0D" w:rsidRPr="00EB117B" w:rsidRDefault="004D7A0D"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C72235">
        <w:rPr>
          <w:rFonts w:ascii="Times New Roman" w:hAnsi="Times New Roman" w:cs="Times New Roman"/>
          <w:sz w:val="28"/>
          <w:szCs w:val="28"/>
        </w:rPr>
        <w:t>Рассмотрение предложений органов государственной власти Иркутской</w:t>
      </w:r>
      <w:r w:rsidRPr="004D7A0D">
        <w:rPr>
          <w:rFonts w:ascii="Times New Roman" w:hAnsi="Times New Roman" w:cs="Times New Roman"/>
          <w:sz w:val="28"/>
          <w:szCs w:val="28"/>
        </w:rPr>
        <w:t xml:space="preserve"> области по увеличению действующих расходных обязательств, принятию новых, </w:t>
      </w:r>
      <w:r>
        <w:rPr>
          <w:rFonts w:ascii="Times New Roman" w:hAnsi="Times New Roman" w:cs="Times New Roman"/>
          <w:sz w:val="28"/>
          <w:szCs w:val="28"/>
        </w:rPr>
        <w:t>только</w:t>
      </w:r>
      <w:r w:rsidRPr="004D7A0D">
        <w:rPr>
          <w:rFonts w:ascii="Times New Roman" w:hAnsi="Times New Roman" w:cs="Times New Roman"/>
          <w:sz w:val="28"/>
          <w:szCs w:val="28"/>
        </w:rPr>
        <w:t xml:space="preserve"> при наличии дополнительных источников доходов</w:t>
      </w:r>
      <w:r>
        <w:rPr>
          <w:rFonts w:ascii="Times New Roman" w:hAnsi="Times New Roman" w:cs="Times New Roman"/>
          <w:sz w:val="28"/>
          <w:szCs w:val="28"/>
        </w:rPr>
        <w:t xml:space="preserve"> или изыскания внутренних резервов</w:t>
      </w:r>
      <w:r w:rsidRPr="004D7A0D">
        <w:rPr>
          <w:rFonts w:ascii="Times New Roman" w:hAnsi="Times New Roman" w:cs="Times New Roman"/>
          <w:sz w:val="28"/>
          <w:szCs w:val="28"/>
        </w:rPr>
        <w:t>, исключительно после соответствующей оценки эффективности и социальной значимости данных расходных обязательств.</w:t>
      </w:r>
    </w:p>
    <w:p w14:paraId="3BA62EA0" w14:textId="74FF45A1" w:rsidR="00A54FD9" w:rsidRDefault="00411300"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П</w:t>
      </w:r>
      <w:r w:rsidR="00FD785C" w:rsidRPr="00EB117B">
        <w:rPr>
          <w:rFonts w:ascii="Times New Roman" w:hAnsi="Times New Roman" w:cs="Times New Roman"/>
          <w:sz w:val="28"/>
          <w:szCs w:val="28"/>
        </w:rPr>
        <w:t>овышени</w:t>
      </w:r>
      <w:r w:rsidRPr="00EB117B">
        <w:rPr>
          <w:rFonts w:ascii="Times New Roman" w:hAnsi="Times New Roman" w:cs="Times New Roman"/>
          <w:sz w:val="28"/>
          <w:szCs w:val="28"/>
        </w:rPr>
        <w:t>е</w:t>
      </w:r>
      <w:r w:rsidR="00FD785C" w:rsidRPr="00EB117B">
        <w:rPr>
          <w:rFonts w:ascii="Times New Roman" w:hAnsi="Times New Roman" w:cs="Times New Roman"/>
          <w:sz w:val="28"/>
          <w:szCs w:val="28"/>
        </w:rPr>
        <w:t xml:space="preserve"> эффективности использования имущества, находящегося в государственной собстве</w:t>
      </w:r>
      <w:r w:rsidRPr="00EB117B">
        <w:rPr>
          <w:rFonts w:ascii="Times New Roman" w:hAnsi="Times New Roman" w:cs="Times New Roman"/>
          <w:sz w:val="28"/>
          <w:szCs w:val="28"/>
        </w:rPr>
        <w:t>нности Иркутской области, отказ</w:t>
      </w:r>
      <w:r w:rsidR="00FD785C" w:rsidRPr="00EB117B">
        <w:rPr>
          <w:rFonts w:ascii="Times New Roman" w:hAnsi="Times New Roman" w:cs="Times New Roman"/>
          <w:sz w:val="28"/>
          <w:szCs w:val="28"/>
        </w:rPr>
        <w:t xml:space="preserve"> от имущества, не используемого при исполнении государственных функций, выпо</w:t>
      </w:r>
      <w:r w:rsidR="00EB117B">
        <w:rPr>
          <w:rFonts w:ascii="Times New Roman" w:hAnsi="Times New Roman" w:cs="Times New Roman"/>
          <w:sz w:val="28"/>
          <w:szCs w:val="28"/>
        </w:rPr>
        <w:t>лнении государственного задания.</w:t>
      </w:r>
    </w:p>
    <w:p w14:paraId="4A6D6A9D" w14:textId="3A33F2E9" w:rsidR="004D7A0D" w:rsidRPr="00D24500" w:rsidRDefault="0030292E"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4500">
        <w:rPr>
          <w:rFonts w:ascii="Times New Roman" w:hAnsi="Times New Roman" w:cs="Times New Roman"/>
          <w:sz w:val="28"/>
          <w:szCs w:val="28"/>
        </w:rPr>
        <w:t xml:space="preserve">Оказание методической поддержки главным администраторам </w:t>
      </w:r>
      <w:r w:rsidR="004D7A0D" w:rsidRPr="00D24500">
        <w:rPr>
          <w:rFonts w:ascii="Times New Roman" w:hAnsi="Times New Roman" w:cs="Times New Roman"/>
          <w:sz w:val="28"/>
          <w:szCs w:val="28"/>
        </w:rPr>
        <w:t xml:space="preserve">бюджетных </w:t>
      </w:r>
      <w:r w:rsidRPr="00D24500">
        <w:rPr>
          <w:rFonts w:ascii="Times New Roman" w:hAnsi="Times New Roman" w:cs="Times New Roman"/>
          <w:sz w:val="28"/>
          <w:szCs w:val="28"/>
        </w:rPr>
        <w:t xml:space="preserve">средств в повышении качества финансового менеджмента, включающего совокупность процедур, обеспечивающих эффективность использования бюджетных средств, нефинансовых ресурсов и охватывающих все этапы бюджетного процесса и финансово-хозяйственной деятельности. </w:t>
      </w:r>
    </w:p>
    <w:p w14:paraId="090AC586" w14:textId="4F19A2D0" w:rsidR="004D7A0D" w:rsidRPr="00D24500" w:rsidRDefault="004D7A0D"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D24500">
        <w:rPr>
          <w:rFonts w:ascii="Times New Roman" w:hAnsi="Times New Roman" w:cs="Times New Roman"/>
          <w:sz w:val="28"/>
          <w:szCs w:val="28"/>
        </w:rPr>
        <w:t>Необходимо рассмотреть возможность в</w:t>
      </w:r>
      <w:r w:rsidR="0030292E" w:rsidRPr="00D24500">
        <w:rPr>
          <w:rFonts w:ascii="Times New Roman" w:hAnsi="Times New Roman" w:cs="Times New Roman"/>
          <w:sz w:val="28"/>
          <w:szCs w:val="28"/>
        </w:rPr>
        <w:t>ключени</w:t>
      </w:r>
      <w:r w:rsidRPr="00D24500">
        <w:rPr>
          <w:rFonts w:ascii="Times New Roman" w:hAnsi="Times New Roman" w:cs="Times New Roman"/>
          <w:sz w:val="28"/>
          <w:szCs w:val="28"/>
        </w:rPr>
        <w:t>я</w:t>
      </w:r>
      <w:r w:rsidR="0030292E" w:rsidRPr="00D24500">
        <w:rPr>
          <w:rFonts w:ascii="Times New Roman" w:hAnsi="Times New Roman" w:cs="Times New Roman"/>
          <w:sz w:val="28"/>
          <w:szCs w:val="28"/>
        </w:rPr>
        <w:t xml:space="preserve"> в систему оценки качества финансового менеджмента </w:t>
      </w:r>
      <w:r w:rsidRPr="00D24500">
        <w:rPr>
          <w:rFonts w:ascii="Times New Roman" w:hAnsi="Times New Roman" w:cs="Times New Roman"/>
          <w:sz w:val="28"/>
          <w:szCs w:val="28"/>
        </w:rPr>
        <w:t xml:space="preserve">критериев, позволяющих выявить системные ошибки при осуществлении финансового менеджмента главными администраторами бюджетных средств и определить направления развития внутреннего финансового контроля. </w:t>
      </w:r>
    </w:p>
    <w:p w14:paraId="3C53ADEA" w14:textId="41069D1D" w:rsidR="00EC3733" w:rsidRPr="00EB117B" w:rsidRDefault="00EB117B" w:rsidP="001830BD">
      <w:pPr>
        <w:pStyle w:val="a3"/>
        <w:widowControl w:val="0"/>
        <w:numPr>
          <w:ilvl w:val="0"/>
          <w:numId w:val="19"/>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547F32" w:rsidRPr="00EB117B">
        <w:rPr>
          <w:rFonts w:ascii="Times New Roman" w:hAnsi="Times New Roman" w:cs="Times New Roman"/>
          <w:sz w:val="28"/>
          <w:szCs w:val="28"/>
        </w:rPr>
        <w:t>овышени</w:t>
      </w:r>
      <w:r>
        <w:rPr>
          <w:rFonts w:ascii="Times New Roman" w:hAnsi="Times New Roman" w:cs="Times New Roman"/>
          <w:sz w:val="28"/>
          <w:szCs w:val="28"/>
        </w:rPr>
        <w:t>е</w:t>
      </w:r>
      <w:r w:rsidR="00547F32" w:rsidRPr="00EB117B">
        <w:rPr>
          <w:rFonts w:ascii="Times New Roman" w:hAnsi="Times New Roman" w:cs="Times New Roman"/>
          <w:sz w:val="28"/>
          <w:szCs w:val="28"/>
        </w:rPr>
        <w:t xml:space="preserve"> эффективности предоставления</w:t>
      </w:r>
      <w:r w:rsidR="0045178F">
        <w:rPr>
          <w:rFonts w:ascii="Times New Roman" w:hAnsi="Times New Roman" w:cs="Times New Roman"/>
          <w:sz w:val="28"/>
          <w:szCs w:val="28"/>
        </w:rPr>
        <w:t xml:space="preserve"> межбюджетных</w:t>
      </w:r>
      <w:r w:rsidR="00547F32" w:rsidRPr="00EB117B">
        <w:rPr>
          <w:rFonts w:ascii="Times New Roman" w:hAnsi="Times New Roman" w:cs="Times New Roman"/>
          <w:sz w:val="28"/>
          <w:szCs w:val="28"/>
        </w:rPr>
        <w:t xml:space="preserve"> субсидий из областного бюджета</w:t>
      </w:r>
      <w:r>
        <w:rPr>
          <w:rFonts w:ascii="Times New Roman" w:hAnsi="Times New Roman" w:cs="Times New Roman"/>
          <w:sz w:val="28"/>
          <w:szCs w:val="28"/>
        </w:rPr>
        <w:t xml:space="preserve">, в том числе </w:t>
      </w:r>
      <w:r w:rsidR="00547F32" w:rsidRPr="00EB117B">
        <w:rPr>
          <w:rFonts w:ascii="Times New Roman" w:hAnsi="Times New Roman" w:cs="Times New Roman"/>
          <w:sz w:val="28"/>
          <w:szCs w:val="28"/>
        </w:rPr>
        <w:t>реализ</w:t>
      </w:r>
      <w:r>
        <w:rPr>
          <w:rFonts w:ascii="Times New Roman" w:hAnsi="Times New Roman" w:cs="Times New Roman"/>
          <w:sz w:val="28"/>
          <w:szCs w:val="28"/>
        </w:rPr>
        <w:t>ация</w:t>
      </w:r>
      <w:r w:rsidR="00547F32" w:rsidRPr="00EB117B">
        <w:rPr>
          <w:rFonts w:ascii="Times New Roman" w:hAnsi="Times New Roman" w:cs="Times New Roman"/>
          <w:sz w:val="28"/>
          <w:szCs w:val="28"/>
        </w:rPr>
        <w:t xml:space="preserve"> комплекс</w:t>
      </w:r>
      <w:r>
        <w:rPr>
          <w:rFonts w:ascii="Times New Roman" w:hAnsi="Times New Roman" w:cs="Times New Roman"/>
          <w:sz w:val="28"/>
          <w:szCs w:val="28"/>
        </w:rPr>
        <w:t>а</w:t>
      </w:r>
      <w:r w:rsidR="00547F32" w:rsidRPr="00EB117B">
        <w:rPr>
          <w:rFonts w:ascii="Times New Roman" w:hAnsi="Times New Roman" w:cs="Times New Roman"/>
          <w:sz w:val="28"/>
          <w:szCs w:val="28"/>
        </w:rPr>
        <w:t xml:space="preserve"> мер, направле</w:t>
      </w:r>
      <w:r w:rsidR="00AF6CD6" w:rsidRPr="00EB117B">
        <w:rPr>
          <w:rFonts w:ascii="Times New Roman" w:hAnsi="Times New Roman" w:cs="Times New Roman"/>
          <w:sz w:val="28"/>
          <w:szCs w:val="28"/>
        </w:rPr>
        <w:t>н</w:t>
      </w:r>
      <w:r w:rsidR="00547F32" w:rsidRPr="00EB117B">
        <w:rPr>
          <w:rFonts w:ascii="Times New Roman" w:hAnsi="Times New Roman" w:cs="Times New Roman"/>
          <w:sz w:val="28"/>
          <w:szCs w:val="28"/>
        </w:rPr>
        <w:t>ных на:</w:t>
      </w:r>
    </w:p>
    <w:p w14:paraId="7DC1E774" w14:textId="09DA34A0" w:rsidR="00547F32" w:rsidRPr="00EB117B" w:rsidRDefault="00AF6CD6"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у</w:t>
      </w:r>
      <w:r w:rsidR="00547F32" w:rsidRPr="00EB117B">
        <w:rPr>
          <w:rFonts w:ascii="Times New Roman" w:hAnsi="Times New Roman" w:cs="Times New Roman"/>
          <w:sz w:val="28"/>
          <w:szCs w:val="28"/>
        </w:rPr>
        <w:t xml:space="preserve">нификацию соглашений о предоставлении субсидий </w:t>
      </w:r>
      <w:r w:rsidR="0045178F">
        <w:rPr>
          <w:rFonts w:ascii="Times New Roman" w:hAnsi="Times New Roman" w:cs="Times New Roman"/>
          <w:sz w:val="28"/>
          <w:szCs w:val="28"/>
        </w:rPr>
        <w:t xml:space="preserve">органам местного самоуправления Иркутской области </w:t>
      </w:r>
      <w:r w:rsidR="00547F32" w:rsidRPr="00EB117B">
        <w:rPr>
          <w:rFonts w:ascii="Times New Roman" w:hAnsi="Times New Roman" w:cs="Times New Roman"/>
          <w:sz w:val="28"/>
          <w:szCs w:val="28"/>
        </w:rPr>
        <w:t xml:space="preserve">из областного бюджета – до конца 2017 года планируется утвердить типовую форму соглашения. </w:t>
      </w:r>
      <w:r w:rsidRPr="00EB117B">
        <w:rPr>
          <w:rFonts w:ascii="Times New Roman" w:hAnsi="Times New Roman" w:cs="Times New Roman"/>
          <w:sz w:val="28"/>
          <w:szCs w:val="28"/>
        </w:rPr>
        <w:t>Планируемые</w:t>
      </w:r>
      <w:r w:rsidR="00547F32" w:rsidRPr="00EB117B">
        <w:rPr>
          <w:rFonts w:ascii="Times New Roman" w:hAnsi="Times New Roman" w:cs="Times New Roman"/>
          <w:sz w:val="28"/>
          <w:szCs w:val="28"/>
        </w:rPr>
        <w:t xml:space="preserve"> изменения </w:t>
      </w:r>
      <w:r w:rsidRPr="00EB117B">
        <w:rPr>
          <w:rFonts w:ascii="Times New Roman" w:hAnsi="Times New Roman" w:cs="Times New Roman"/>
          <w:sz w:val="28"/>
          <w:szCs w:val="28"/>
        </w:rPr>
        <w:t>порядка п</w:t>
      </w:r>
      <w:r w:rsidR="00547F32" w:rsidRPr="00EB117B">
        <w:rPr>
          <w:rFonts w:ascii="Times New Roman" w:hAnsi="Times New Roman" w:cs="Times New Roman"/>
          <w:sz w:val="28"/>
          <w:szCs w:val="28"/>
        </w:rPr>
        <w:t>редоставлении субсидий из федерального бюджета на финансирование вопросов местного значения</w:t>
      </w:r>
      <w:r w:rsidRPr="00EB117B">
        <w:rPr>
          <w:rFonts w:ascii="Times New Roman" w:hAnsi="Times New Roman" w:cs="Times New Roman"/>
          <w:sz w:val="28"/>
          <w:szCs w:val="28"/>
        </w:rPr>
        <w:t xml:space="preserve"> приведут к необходимости заключения соглашений с органами местного самоуправления в электронном виде в системе «Электронный бюджет»;</w:t>
      </w:r>
    </w:p>
    <w:p w14:paraId="722BC7C5" w14:textId="6611FA53" w:rsidR="00AF6CD6" w:rsidRPr="00EB117B" w:rsidRDefault="00AF6CD6"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повышение доли субсидий, распределенных непосредственно законом о бюджете;</w:t>
      </w:r>
    </w:p>
    <w:p w14:paraId="309F3070" w14:textId="4B340ED2" w:rsidR="00AF6CD6" w:rsidRPr="00EB117B" w:rsidRDefault="00AF6CD6"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 xml:space="preserve">сохранение в </w:t>
      </w:r>
      <w:r w:rsidR="00CB6A08" w:rsidRPr="00EB117B">
        <w:rPr>
          <w:rFonts w:ascii="Times New Roman" w:hAnsi="Times New Roman" w:cs="Times New Roman"/>
          <w:sz w:val="28"/>
          <w:szCs w:val="28"/>
        </w:rPr>
        <w:t xml:space="preserve">законе о бюджете норм, устанавливающих </w:t>
      </w:r>
      <w:r w:rsidRPr="00EB117B">
        <w:rPr>
          <w:rFonts w:ascii="Times New Roman" w:hAnsi="Times New Roman" w:cs="Times New Roman"/>
          <w:sz w:val="28"/>
          <w:szCs w:val="28"/>
        </w:rPr>
        <w:t>предельн</w:t>
      </w:r>
      <w:r w:rsidR="00CB6A08" w:rsidRPr="00EB117B">
        <w:rPr>
          <w:rFonts w:ascii="Times New Roman" w:hAnsi="Times New Roman" w:cs="Times New Roman"/>
          <w:sz w:val="28"/>
          <w:szCs w:val="28"/>
        </w:rPr>
        <w:t>ый</w:t>
      </w:r>
      <w:r w:rsidRPr="00EB117B">
        <w:rPr>
          <w:rFonts w:ascii="Times New Roman" w:hAnsi="Times New Roman" w:cs="Times New Roman"/>
          <w:sz w:val="28"/>
          <w:szCs w:val="28"/>
        </w:rPr>
        <w:t xml:space="preserve"> срок распределения</w:t>
      </w:r>
      <w:r w:rsidR="00CB6A08" w:rsidRPr="00EB117B">
        <w:rPr>
          <w:rFonts w:ascii="Times New Roman" w:hAnsi="Times New Roman" w:cs="Times New Roman"/>
          <w:sz w:val="28"/>
          <w:szCs w:val="28"/>
        </w:rPr>
        <w:t xml:space="preserve"> субсидий -  до 1 марта, а также </w:t>
      </w:r>
      <w:r w:rsidR="004260D3">
        <w:rPr>
          <w:rFonts w:ascii="Times New Roman" w:hAnsi="Times New Roman" w:cs="Times New Roman"/>
          <w:sz w:val="28"/>
          <w:szCs w:val="28"/>
        </w:rPr>
        <w:t xml:space="preserve">предельный срок для </w:t>
      </w:r>
      <w:r w:rsidR="00CB6A08" w:rsidRPr="00EB117B">
        <w:rPr>
          <w:rFonts w:ascii="Times New Roman" w:hAnsi="Times New Roman" w:cs="Times New Roman"/>
          <w:sz w:val="28"/>
          <w:szCs w:val="28"/>
        </w:rPr>
        <w:t>заключения соглашений с органами местного самоуправления;</w:t>
      </w:r>
    </w:p>
    <w:p w14:paraId="71222F72" w14:textId="3DEB7C9E" w:rsidR="00CB6A08" w:rsidRPr="00EB117B" w:rsidRDefault="00CB6A08"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полномасштабный охват субсидий механизмом перечисления «под фактическую потребность»;</w:t>
      </w:r>
    </w:p>
    <w:p w14:paraId="5F93100D" w14:textId="5E6E6BD8" w:rsidR="00A54FD9" w:rsidRPr="00EB117B" w:rsidRDefault="00A54FD9"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EB117B">
        <w:rPr>
          <w:rFonts w:ascii="Times New Roman" w:hAnsi="Times New Roman" w:cs="Times New Roman"/>
          <w:sz w:val="28"/>
          <w:szCs w:val="28"/>
        </w:rPr>
        <w:t>установление единых формализованных условий софинансирования приоритетных обязательств органов местного самоуправления в зависимости от</w:t>
      </w:r>
      <w:r w:rsidR="00EB1B65">
        <w:rPr>
          <w:rFonts w:ascii="Times New Roman" w:hAnsi="Times New Roman" w:cs="Times New Roman"/>
          <w:sz w:val="28"/>
          <w:szCs w:val="28"/>
        </w:rPr>
        <w:t xml:space="preserve"> </w:t>
      </w:r>
      <w:r w:rsidRPr="00EB117B">
        <w:rPr>
          <w:rFonts w:ascii="Times New Roman" w:hAnsi="Times New Roman" w:cs="Times New Roman"/>
          <w:sz w:val="28"/>
          <w:szCs w:val="28"/>
        </w:rPr>
        <w:t>уровня расчетной бюджетной обеспеченности местных бюджетов;</w:t>
      </w:r>
    </w:p>
    <w:p w14:paraId="0F9C1705" w14:textId="47ADD533" w:rsidR="00AF6CD6" w:rsidRPr="00EB117B" w:rsidRDefault="00CB6A08"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B117B">
        <w:rPr>
          <w:rFonts w:ascii="Times New Roman" w:eastAsia="Times New Roman" w:hAnsi="Times New Roman" w:cs="Times New Roman"/>
          <w:sz w:val="28"/>
          <w:szCs w:val="28"/>
          <w:lang w:eastAsia="ru-RU"/>
        </w:rPr>
        <w:t xml:space="preserve">исключение рисков невыполнения условий софинансирования </w:t>
      </w:r>
      <w:r w:rsidR="006B3D3B" w:rsidRPr="00EB117B">
        <w:rPr>
          <w:rFonts w:ascii="Times New Roman" w:eastAsia="Times New Roman" w:hAnsi="Times New Roman" w:cs="Times New Roman"/>
          <w:sz w:val="28"/>
          <w:szCs w:val="28"/>
          <w:lang w:eastAsia="ru-RU"/>
        </w:rPr>
        <w:t>с</w:t>
      </w:r>
      <w:r w:rsidRPr="00EB117B">
        <w:rPr>
          <w:rFonts w:ascii="Times New Roman" w:eastAsia="Times New Roman" w:hAnsi="Times New Roman" w:cs="Times New Roman"/>
          <w:sz w:val="28"/>
          <w:szCs w:val="28"/>
          <w:lang w:eastAsia="ru-RU"/>
        </w:rPr>
        <w:t xml:space="preserve">о стороны органов местного самоуправления </w:t>
      </w:r>
      <w:r w:rsidR="00A02E4B" w:rsidRPr="00EB117B">
        <w:rPr>
          <w:rFonts w:ascii="Times New Roman" w:eastAsia="Times New Roman" w:hAnsi="Times New Roman" w:cs="Times New Roman"/>
          <w:sz w:val="28"/>
          <w:szCs w:val="28"/>
          <w:lang w:eastAsia="ru-RU"/>
        </w:rPr>
        <w:t xml:space="preserve">- </w:t>
      </w:r>
      <w:r w:rsidRPr="00EB117B">
        <w:rPr>
          <w:rFonts w:ascii="Times New Roman" w:eastAsia="Times New Roman" w:hAnsi="Times New Roman" w:cs="Times New Roman"/>
          <w:sz w:val="28"/>
          <w:szCs w:val="28"/>
          <w:lang w:eastAsia="ru-RU"/>
        </w:rPr>
        <w:t>перечислени</w:t>
      </w:r>
      <w:r w:rsidR="00A02E4B" w:rsidRPr="00EB117B">
        <w:rPr>
          <w:rFonts w:ascii="Times New Roman" w:eastAsia="Times New Roman" w:hAnsi="Times New Roman" w:cs="Times New Roman"/>
          <w:sz w:val="28"/>
          <w:szCs w:val="28"/>
          <w:lang w:eastAsia="ru-RU"/>
        </w:rPr>
        <w:t>е</w:t>
      </w:r>
      <w:r w:rsidRPr="00EB117B">
        <w:rPr>
          <w:rFonts w:ascii="Times New Roman" w:eastAsia="Times New Roman" w:hAnsi="Times New Roman" w:cs="Times New Roman"/>
          <w:sz w:val="28"/>
          <w:szCs w:val="28"/>
          <w:lang w:eastAsia="ru-RU"/>
        </w:rPr>
        <w:t xml:space="preserve"> субсидий в местные бюджеты в размере пропорционально уровню софинансирования</w:t>
      </w:r>
      <w:r w:rsidR="00A02E4B" w:rsidRPr="00EB117B">
        <w:rPr>
          <w:rFonts w:ascii="Times New Roman" w:eastAsia="Times New Roman" w:hAnsi="Times New Roman" w:cs="Times New Roman"/>
          <w:sz w:val="28"/>
          <w:szCs w:val="28"/>
          <w:lang w:eastAsia="ru-RU"/>
        </w:rPr>
        <w:t>;</w:t>
      </w:r>
      <w:r w:rsidRPr="00EB117B">
        <w:rPr>
          <w:rFonts w:ascii="Times New Roman" w:eastAsia="Times New Roman" w:hAnsi="Times New Roman" w:cs="Times New Roman"/>
          <w:sz w:val="28"/>
          <w:szCs w:val="28"/>
          <w:lang w:eastAsia="ru-RU"/>
        </w:rPr>
        <w:t xml:space="preserve"> </w:t>
      </w:r>
    </w:p>
    <w:p w14:paraId="5DED26D7" w14:textId="5C4B1692" w:rsidR="006B3D3B" w:rsidRPr="00EB117B" w:rsidRDefault="006B3D3B"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B117B">
        <w:rPr>
          <w:rFonts w:ascii="Times New Roman" w:eastAsia="Times New Roman" w:hAnsi="Times New Roman" w:cs="Times New Roman"/>
          <w:sz w:val="28"/>
          <w:szCs w:val="28"/>
          <w:lang w:eastAsia="ru-RU"/>
        </w:rPr>
        <w:t>консолидацию субсидий в рамках одной государственной программы Иркутской области;</w:t>
      </w:r>
    </w:p>
    <w:p w14:paraId="6DF7F3A6" w14:textId="66F48315" w:rsidR="006B3D3B" w:rsidRPr="00515BC5" w:rsidRDefault="006B3D3B" w:rsidP="001830BD">
      <w:pPr>
        <w:pStyle w:val="a3"/>
        <w:widowControl w:val="0"/>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i/>
          <w:sz w:val="28"/>
          <w:szCs w:val="28"/>
          <w:lang w:eastAsia="ru-RU"/>
        </w:rPr>
      </w:pPr>
      <w:r w:rsidRPr="00EB117B">
        <w:rPr>
          <w:rFonts w:ascii="Times New Roman" w:eastAsia="Times New Roman" w:hAnsi="Times New Roman" w:cs="Times New Roman"/>
          <w:sz w:val="28"/>
          <w:szCs w:val="28"/>
          <w:lang w:eastAsia="ru-RU"/>
        </w:rPr>
        <w:t xml:space="preserve">усиление </w:t>
      </w:r>
      <w:r w:rsidR="00862412" w:rsidRPr="00EB117B">
        <w:rPr>
          <w:rFonts w:ascii="Times New Roman" w:eastAsia="Times New Roman" w:hAnsi="Times New Roman" w:cs="Times New Roman"/>
          <w:sz w:val="28"/>
          <w:szCs w:val="28"/>
          <w:lang w:eastAsia="ru-RU"/>
        </w:rPr>
        <w:t xml:space="preserve">контроля </w:t>
      </w:r>
      <w:r w:rsidRPr="00EB117B">
        <w:rPr>
          <w:rFonts w:ascii="Times New Roman" w:eastAsia="Times New Roman" w:hAnsi="Times New Roman" w:cs="Times New Roman"/>
          <w:sz w:val="28"/>
          <w:szCs w:val="28"/>
          <w:lang w:eastAsia="ru-RU"/>
        </w:rPr>
        <w:t>со стороны главных расп</w:t>
      </w:r>
      <w:r w:rsidR="00862412">
        <w:rPr>
          <w:rFonts w:ascii="Times New Roman" w:eastAsia="Times New Roman" w:hAnsi="Times New Roman" w:cs="Times New Roman"/>
          <w:sz w:val="28"/>
          <w:szCs w:val="28"/>
          <w:lang w:eastAsia="ru-RU"/>
        </w:rPr>
        <w:t xml:space="preserve">орядителей бюджетных средств </w:t>
      </w:r>
      <w:r w:rsidRPr="00EB117B">
        <w:rPr>
          <w:rFonts w:ascii="Times New Roman" w:eastAsia="Times New Roman" w:hAnsi="Times New Roman" w:cs="Times New Roman"/>
          <w:sz w:val="28"/>
          <w:szCs w:val="28"/>
          <w:lang w:eastAsia="ru-RU"/>
        </w:rPr>
        <w:t xml:space="preserve">за достижением органами местного самоуправления показателей результативности, </w:t>
      </w:r>
      <w:r w:rsidRPr="00D24500">
        <w:rPr>
          <w:rFonts w:ascii="Times New Roman" w:eastAsia="Times New Roman" w:hAnsi="Times New Roman" w:cs="Times New Roman"/>
          <w:sz w:val="28"/>
          <w:szCs w:val="28"/>
          <w:lang w:eastAsia="ru-RU"/>
        </w:rPr>
        <w:t xml:space="preserve">установленных соглашениями о предоставлении субсидий, и учет данной оценки при принятии решений о продолжении их предоставления в плановом периоде, а также </w:t>
      </w:r>
      <w:r w:rsidR="003037A0">
        <w:rPr>
          <w:rFonts w:ascii="Times New Roman" w:eastAsia="Times New Roman" w:hAnsi="Times New Roman" w:cs="Times New Roman"/>
          <w:sz w:val="28"/>
          <w:szCs w:val="28"/>
          <w:lang w:eastAsia="ru-RU"/>
        </w:rPr>
        <w:t>п</w:t>
      </w:r>
      <w:r w:rsidRPr="00D24500">
        <w:rPr>
          <w:rFonts w:ascii="Times New Roman" w:eastAsia="Times New Roman" w:hAnsi="Times New Roman" w:cs="Times New Roman"/>
          <w:sz w:val="28"/>
          <w:szCs w:val="28"/>
          <w:lang w:eastAsia="ru-RU"/>
        </w:rPr>
        <w:t>рименение механизма штрафных санкций к бюджетам муниципальных образований в случае не достижения показателей результативности использования субсидий в отчетном периоде</w:t>
      </w:r>
      <w:r w:rsidR="001830BD" w:rsidRPr="00D24500">
        <w:rPr>
          <w:rFonts w:ascii="Times New Roman" w:eastAsia="Times New Roman" w:hAnsi="Times New Roman" w:cs="Times New Roman"/>
          <w:sz w:val="28"/>
          <w:szCs w:val="28"/>
          <w:lang w:eastAsia="ru-RU"/>
        </w:rPr>
        <w:t>.</w:t>
      </w:r>
    </w:p>
    <w:p w14:paraId="4CBE18F2" w14:textId="51D47B82" w:rsidR="00A02E4B" w:rsidRPr="00C72235" w:rsidRDefault="00A54FD9" w:rsidP="005B03B9">
      <w:pPr>
        <w:pStyle w:val="a3"/>
        <w:widowControl w:val="0"/>
        <w:tabs>
          <w:tab w:val="left" w:pos="6487"/>
        </w:tabs>
        <w:autoSpaceDE w:val="0"/>
        <w:autoSpaceDN w:val="0"/>
        <w:adjustRightInd w:val="0"/>
        <w:spacing w:after="0" w:line="240" w:lineRule="auto"/>
        <w:ind w:left="0" w:firstLine="709"/>
        <w:jc w:val="both"/>
        <w:rPr>
          <w:rFonts w:ascii="Times New Roman" w:hAnsi="Times New Roman" w:cs="Times New Roman"/>
          <w:i/>
          <w:sz w:val="18"/>
          <w:szCs w:val="28"/>
        </w:rPr>
      </w:pPr>
      <w:r w:rsidRPr="00515BC5">
        <w:rPr>
          <w:rFonts w:ascii="Times New Roman" w:hAnsi="Times New Roman" w:cs="Times New Roman"/>
          <w:i/>
          <w:sz w:val="28"/>
          <w:szCs w:val="28"/>
        </w:rPr>
        <w:tab/>
      </w:r>
    </w:p>
    <w:p w14:paraId="4730046F" w14:textId="00EBDE4D" w:rsidR="009A30A3" w:rsidRPr="00C72235" w:rsidRDefault="00D24500" w:rsidP="00894B3B">
      <w:pPr>
        <w:pStyle w:val="3"/>
        <w:rPr>
          <w:rFonts w:ascii="Times New Roman" w:hAnsi="Times New Roman" w:cs="Times New Roman"/>
          <w:i/>
          <w:sz w:val="28"/>
        </w:rPr>
      </w:pPr>
      <w:bookmarkStart w:id="11" w:name="_Toc496702986"/>
      <w:r w:rsidRPr="00C72235">
        <w:rPr>
          <w:rFonts w:ascii="Times New Roman" w:hAnsi="Times New Roman" w:cs="Times New Roman"/>
          <w:i/>
          <w:sz w:val="28"/>
        </w:rPr>
        <w:t xml:space="preserve">2.3 </w:t>
      </w:r>
      <w:r w:rsidR="009A30A3" w:rsidRPr="00C72235">
        <w:rPr>
          <w:rFonts w:ascii="Times New Roman" w:hAnsi="Times New Roman" w:cs="Times New Roman"/>
          <w:i/>
          <w:sz w:val="28"/>
        </w:rPr>
        <w:t>Обеспечение сбалансированности</w:t>
      </w:r>
      <w:r w:rsidR="00AC6BF2" w:rsidRPr="00C72235">
        <w:rPr>
          <w:rFonts w:ascii="Times New Roman" w:hAnsi="Times New Roman" w:cs="Times New Roman"/>
          <w:i/>
          <w:sz w:val="28"/>
        </w:rPr>
        <w:t xml:space="preserve"> местных бюджетов</w:t>
      </w:r>
      <w:bookmarkEnd w:id="11"/>
    </w:p>
    <w:p w14:paraId="50F000F8" w14:textId="77777777" w:rsidR="00C91A8B" w:rsidRDefault="00A22932"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6A34">
        <w:rPr>
          <w:rFonts w:ascii="Times New Roman" w:eastAsia="Times New Roman" w:hAnsi="Times New Roman" w:cs="Times New Roman"/>
          <w:sz w:val="28"/>
          <w:szCs w:val="28"/>
          <w:lang w:eastAsia="ru-RU"/>
        </w:rPr>
        <w:t>Под особым контролем остаются вопросы обеспечения сбалансированности бюджетов муниципальных образований области, а также оказания целевой поддержки исполнения отдельных полномочий органов местного самоуправления.</w:t>
      </w:r>
    </w:p>
    <w:p w14:paraId="2F6459BA" w14:textId="706ECDBF" w:rsidR="004D705F" w:rsidRPr="000D66B6" w:rsidRDefault="004D705F" w:rsidP="004623D1">
      <w:pPr>
        <w:pStyle w:val="a3"/>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D66B6">
        <w:rPr>
          <w:rFonts w:ascii="Times New Roman" w:eastAsia="Times New Roman" w:hAnsi="Times New Roman" w:cs="Times New Roman"/>
          <w:sz w:val="28"/>
          <w:szCs w:val="28"/>
          <w:lang w:eastAsia="ru-RU"/>
        </w:rPr>
        <w:t>Оказание финансовой поддержки на обеспечение сбалансированности местных бюджетов будет продолжено и в планируемом периоде.</w:t>
      </w:r>
    </w:p>
    <w:p w14:paraId="5646FF84" w14:textId="509FF2ED" w:rsidR="00020947" w:rsidRPr="00020947" w:rsidRDefault="00020947" w:rsidP="004623D1">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20947">
        <w:rPr>
          <w:rFonts w:ascii="Times New Roman" w:eastAsia="Times New Roman" w:hAnsi="Times New Roman" w:cs="Times New Roman"/>
          <w:sz w:val="28"/>
          <w:szCs w:val="28"/>
          <w:lang w:eastAsia="ru-RU"/>
        </w:rPr>
        <w:t>В ходе работы по совершенствованию межбюджетных отношений</w:t>
      </w:r>
      <w:r>
        <w:rPr>
          <w:rFonts w:ascii="Times New Roman" w:eastAsia="Times New Roman" w:hAnsi="Times New Roman" w:cs="Times New Roman"/>
          <w:sz w:val="28"/>
          <w:szCs w:val="28"/>
          <w:lang w:eastAsia="ru-RU"/>
        </w:rPr>
        <w:t xml:space="preserve"> с 2018 года</w:t>
      </w:r>
      <w:r w:rsidRPr="00020947">
        <w:rPr>
          <w:rFonts w:ascii="Times New Roman" w:eastAsia="Times New Roman" w:hAnsi="Times New Roman" w:cs="Times New Roman"/>
          <w:sz w:val="28"/>
          <w:szCs w:val="28"/>
          <w:lang w:eastAsia="ru-RU"/>
        </w:rPr>
        <w:t xml:space="preserve"> внесены изменения в порядок предоставления субсидии на реализацию мероприятий, направленных на повышение эффективности бюджетных расходов муниципальных образований Иркутской области, в частности, предусмотрено поощрение муниципальных образований за:</w:t>
      </w:r>
    </w:p>
    <w:p w14:paraId="7CC54C82" w14:textId="429B56EC" w:rsidR="00020947" w:rsidRPr="00020947" w:rsidRDefault="00020947" w:rsidP="004623D1">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020947">
        <w:rPr>
          <w:rFonts w:ascii="Times New Roman" w:eastAsia="Times New Roman" w:hAnsi="Times New Roman" w:cs="Times New Roman"/>
          <w:sz w:val="28"/>
          <w:szCs w:val="28"/>
          <w:lang w:eastAsia="ru-RU"/>
        </w:rPr>
        <w:t>1)</w:t>
      </w:r>
      <w:r w:rsidRPr="00020947">
        <w:rPr>
          <w:rFonts w:ascii="Times New Roman" w:eastAsia="Times New Roman" w:hAnsi="Times New Roman" w:cs="Times New Roman"/>
          <w:sz w:val="28"/>
          <w:szCs w:val="28"/>
          <w:lang w:eastAsia="ru-RU"/>
        </w:rPr>
        <w:tab/>
        <w:t>прирост поступлений налоговых и неналоговых доходов в бюджеты муниципальных образований Иркутской области за отчетный финансовый год</w:t>
      </w:r>
      <w:r w:rsidR="006C74C4">
        <w:rPr>
          <w:rFonts w:ascii="Times New Roman" w:eastAsia="Times New Roman" w:hAnsi="Times New Roman" w:cs="Times New Roman"/>
          <w:sz w:val="28"/>
          <w:szCs w:val="28"/>
          <w:lang w:eastAsia="ru-RU"/>
        </w:rPr>
        <w:t xml:space="preserve"> в</w:t>
      </w:r>
      <w:r w:rsidR="00A81375">
        <w:rPr>
          <w:rFonts w:ascii="Times New Roman" w:eastAsia="Times New Roman" w:hAnsi="Times New Roman" w:cs="Times New Roman"/>
          <w:sz w:val="28"/>
          <w:szCs w:val="28"/>
          <w:lang w:eastAsia="ru-RU"/>
        </w:rPr>
        <w:t xml:space="preserve"> </w:t>
      </w:r>
      <w:r w:rsidR="006C74C4">
        <w:rPr>
          <w:rFonts w:ascii="Times New Roman" w:eastAsia="Times New Roman" w:hAnsi="Times New Roman" w:cs="Times New Roman"/>
          <w:sz w:val="28"/>
          <w:szCs w:val="28"/>
          <w:lang w:eastAsia="ru-RU"/>
        </w:rPr>
        <w:t>сопоставимых условия</w:t>
      </w:r>
      <w:r w:rsidRPr="00020947">
        <w:rPr>
          <w:rFonts w:ascii="Times New Roman" w:eastAsia="Times New Roman" w:hAnsi="Times New Roman" w:cs="Times New Roman"/>
          <w:sz w:val="28"/>
          <w:szCs w:val="28"/>
          <w:lang w:eastAsia="ru-RU"/>
        </w:rPr>
        <w:t>;</w:t>
      </w:r>
      <w:proofErr w:type="gramEnd"/>
    </w:p>
    <w:p w14:paraId="38150419" w14:textId="77777777" w:rsidR="00020947" w:rsidRPr="00020947" w:rsidRDefault="00020947" w:rsidP="004623D1">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20947">
        <w:rPr>
          <w:rFonts w:ascii="Times New Roman" w:eastAsia="Times New Roman" w:hAnsi="Times New Roman" w:cs="Times New Roman"/>
          <w:sz w:val="28"/>
          <w:szCs w:val="28"/>
          <w:lang w:eastAsia="ru-RU"/>
        </w:rPr>
        <w:t>2)</w:t>
      </w:r>
      <w:r w:rsidRPr="00020947">
        <w:rPr>
          <w:rFonts w:ascii="Times New Roman" w:eastAsia="Times New Roman" w:hAnsi="Times New Roman" w:cs="Times New Roman"/>
          <w:sz w:val="28"/>
          <w:szCs w:val="28"/>
          <w:lang w:eastAsia="ru-RU"/>
        </w:rPr>
        <w:tab/>
        <w:t>наилучшие показатели оценок качества по результатам проведения мониторинга и оценки качества управления бюджетным процессом в муниципальных районах (городских округах) Иркутской области;</w:t>
      </w:r>
    </w:p>
    <w:p w14:paraId="3FBE5434" w14:textId="77777777" w:rsidR="004D705F" w:rsidRDefault="00020947" w:rsidP="004623D1">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20947">
        <w:rPr>
          <w:rFonts w:ascii="Times New Roman" w:eastAsia="Times New Roman" w:hAnsi="Times New Roman" w:cs="Times New Roman"/>
          <w:sz w:val="28"/>
          <w:szCs w:val="28"/>
          <w:lang w:eastAsia="ru-RU"/>
        </w:rPr>
        <w:t>3)</w:t>
      </w:r>
      <w:r w:rsidRPr="00020947">
        <w:rPr>
          <w:rFonts w:ascii="Times New Roman" w:eastAsia="Times New Roman" w:hAnsi="Times New Roman" w:cs="Times New Roman"/>
          <w:sz w:val="28"/>
          <w:szCs w:val="28"/>
          <w:lang w:eastAsia="ru-RU"/>
        </w:rPr>
        <w:tab/>
        <w:t xml:space="preserve">проведение органами местного самоуправления работы по объединению муниципальных образований области. </w:t>
      </w:r>
    </w:p>
    <w:p w14:paraId="71E4F60C" w14:textId="0959ECE0" w:rsidR="00117B73" w:rsidRPr="005C7083" w:rsidRDefault="00E8725A" w:rsidP="004623D1">
      <w:pPr>
        <w:pStyle w:val="a3"/>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межбюджетных субсидий будет осуществляться </w:t>
      </w:r>
      <w:r w:rsidR="005C7083">
        <w:rPr>
          <w:rFonts w:ascii="Times New Roman" w:eastAsia="Times New Roman" w:hAnsi="Times New Roman" w:cs="Times New Roman"/>
          <w:sz w:val="28"/>
          <w:szCs w:val="28"/>
          <w:lang w:eastAsia="ru-RU"/>
        </w:rPr>
        <w:t xml:space="preserve">в соответствии с </w:t>
      </w:r>
      <w:r w:rsidR="005C7083" w:rsidRPr="005C7083">
        <w:rPr>
          <w:rFonts w:ascii="Times New Roman" w:eastAsia="Times New Roman" w:hAnsi="Times New Roman" w:cs="Times New Roman"/>
          <w:sz w:val="28"/>
          <w:szCs w:val="28"/>
          <w:lang w:eastAsia="ru-RU"/>
        </w:rPr>
        <w:t xml:space="preserve">утвержденным Правительством Иркутской области </w:t>
      </w:r>
      <w:r w:rsidR="005C7083">
        <w:rPr>
          <w:rFonts w:ascii="Times New Roman" w:eastAsia="Times New Roman" w:hAnsi="Times New Roman" w:cs="Times New Roman"/>
          <w:sz w:val="28"/>
          <w:szCs w:val="28"/>
          <w:lang w:eastAsia="ru-RU"/>
        </w:rPr>
        <w:t xml:space="preserve">перечнем приоритетных </w:t>
      </w:r>
      <w:r w:rsidRPr="005C7083">
        <w:rPr>
          <w:rFonts w:ascii="Times New Roman" w:eastAsia="Times New Roman" w:hAnsi="Times New Roman" w:cs="Times New Roman"/>
          <w:sz w:val="28"/>
          <w:szCs w:val="28"/>
          <w:lang w:eastAsia="ru-RU"/>
        </w:rPr>
        <w:t xml:space="preserve">расходных обязательств муниципальных образований Иркутской области, </w:t>
      </w:r>
      <w:r w:rsidR="005C7083" w:rsidRPr="005C7083">
        <w:rPr>
          <w:rFonts w:ascii="Times New Roman" w:eastAsia="Times New Roman" w:hAnsi="Times New Roman" w:cs="Times New Roman"/>
          <w:sz w:val="28"/>
          <w:szCs w:val="28"/>
          <w:lang w:eastAsia="ru-RU"/>
        </w:rPr>
        <w:t xml:space="preserve">подлежащих </w:t>
      </w:r>
      <w:proofErr w:type="spellStart"/>
      <w:r w:rsidRPr="005C7083">
        <w:rPr>
          <w:rFonts w:ascii="Times New Roman" w:eastAsia="Times New Roman" w:hAnsi="Times New Roman" w:cs="Times New Roman"/>
          <w:sz w:val="28"/>
          <w:szCs w:val="28"/>
          <w:lang w:eastAsia="ru-RU"/>
        </w:rPr>
        <w:t>софинансировани</w:t>
      </w:r>
      <w:r w:rsidR="005C7083" w:rsidRPr="005C7083">
        <w:rPr>
          <w:rFonts w:ascii="Times New Roman" w:eastAsia="Times New Roman" w:hAnsi="Times New Roman" w:cs="Times New Roman"/>
          <w:sz w:val="28"/>
          <w:szCs w:val="28"/>
          <w:lang w:eastAsia="ru-RU"/>
        </w:rPr>
        <w:t>ю</w:t>
      </w:r>
      <w:proofErr w:type="spellEnd"/>
      <w:r w:rsidR="005C7083" w:rsidRPr="005C7083">
        <w:rPr>
          <w:rFonts w:ascii="Times New Roman" w:eastAsia="Times New Roman" w:hAnsi="Times New Roman" w:cs="Times New Roman"/>
          <w:sz w:val="28"/>
          <w:szCs w:val="28"/>
          <w:lang w:eastAsia="ru-RU"/>
        </w:rPr>
        <w:t xml:space="preserve"> из областного бюджета. </w:t>
      </w:r>
    </w:p>
    <w:p w14:paraId="532272D5" w14:textId="0ED60D8F" w:rsidR="000D66B6" w:rsidRDefault="000D66B6" w:rsidP="004623D1">
      <w:pPr>
        <w:pStyle w:val="a3"/>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провести инвентаризацию расходных обязательств муниципальных образований Иркутской области с целью исключения обязательств, принятых сверх полномочий, относящихся к вопросам местного значения, установленных действующим законодательством.</w:t>
      </w:r>
    </w:p>
    <w:p w14:paraId="7D512434" w14:textId="163D924E" w:rsidR="00CC5908" w:rsidRDefault="00152875" w:rsidP="004623D1">
      <w:pPr>
        <w:pStyle w:val="a3"/>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66A34">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областном бюджете на </w:t>
      </w:r>
      <w:r w:rsidRPr="00166A34">
        <w:rPr>
          <w:rFonts w:ascii="Times New Roman" w:eastAsia="Times New Roman" w:hAnsi="Times New Roman" w:cs="Times New Roman"/>
          <w:sz w:val="28"/>
          <w:szCs w:val="28"/>
          <w:lang w:eastAsia="ru-RU"/>
        </w:rPr>
        <w:t>201</w:t>
      </w:r>
      <w:r w:rsidR="004D7A0D">
        <w:rPr>
          <w:rFonts w:ascii="Times New Roman" w:eastAsia="Times New Roman" w:hAnsi="Times New Roman" w:cs="Times New Roman"/>
          <w:sz w:val="28"/>
          <w:szCs w:val="28"/>
          <w:lang w:eastAsia="ru-RU"/>
        </w:rPr>
        <w:t>8</w:t>
      </w:r>
      <w:r w:rsidR="00CC5908">
        <w:rPr>
          <w:rFonts w:ascii="Times New Roman" w:eastAsia="Times New Roman" w:hAnsi="Times New Roman" w:cs="Times New Roman"/>
          <w:sz w:val="28"/>
          <w:szCs w:val="28"/>
          <w:lang w:eastAsia="ru-RU"/>
        </w:rPr>
        <w:t>-20</w:t>
      </w:r>
      <w:r w:rsidR="004D7A0D">
        <w:rPr>
          <w:rFonts w:ascii="Times New Roman" w:eastAsia="Times New Roman" w:hAnsi="Times New Roman" w:cs="Times New Roman"/>
          <w:sz w:val="28"/>
          <w:szCs w:val="28"/>
          <w:lang w:eastAsia="ru-RU"/>
        </w:rPr>
        <w:t>20</w:t>
      </w:r>
      <w:r w:rsidRPr="00166A34">
        <w:rPr>
          <w:rFonts w:ascii="Times New Roman" w:eastAsia="Times New Roman" w:hAnsi="Times New Roman" w:cs="Times New Roman"/>
          <w:sz w:val="28"/>
          <w:szCs w:val="28"/>
          <w:lang w:eastAsia="ru-RU"/>
        </w:rPr>
        <w:t xml:space="preserve"> год</w:t>
      </w:r>
      <w:r w:rsidR="00CC5908">
        <w:rPr>
          <w:rFonts w:ascii="Times New Roman" w:eastAsia="Times New Roman" w:hAnsi="Times New Roman" w:cs="Times New Roman"/>
          <w:sz w:val="28"/>
          <w:szCs w:val="28"/>
          <w:lang w:eastAsia="ru-RU"/>
        </w:rPr>
        <w:t xml:space="preserve">ы будут предусмотрены средства на </w:t>
      </w:r>
      <w:r w:rsidRPr="00166A34">
        <w:rPr>
          <w:rFonts w:ascii="Times New Roman" w:eastAsia="Times New Roman" w:hAnsi="Times New Roman" w:cs="Times New Roman"/>
          <w:sz w:val="28"/>
          <w:szCs w:val="28"/>
          <w:lang w:eastAsia="ru-RU"/>
        </w:rPr>
        <w:t>предоставлени</w:t>
      </w:r>
      <w:r>
        <w:rPr>
          <w:rFonts w:ascii="Times New Roman" w:eastAsia="Times New Roman" w:hAnsi="Times New Roman" w:cs="Times New Roman"/>
          <w:sz w:val="28"/>
          <w:szCs w:val="28"/>
          <w:lang w:eastAsia="ru-RU"/>
        </w:rPr>
        <w:t>е</w:t>
      </w:r>
      <w:r w:rsidRPr="00166A34">
        <w:rPr>
          <w:rFonts w:ascii="Times New Roman" w:eastAsia="Times New Roman" w:hAnsi="Times New Roman" w:cs="Times New Roman"/>
          <w:sz w:val="28"/>
          <w:szCs w:val="28"/>
          <w:lang w:eastAsia="ru-RU"/>
        </w:rPr>
        <w:t xml:space="preserve"> бюджетных кредитов</w:t>
      </w:r>
      <w:r w:rsidR="00CC5908">
        <w:rPr>
          <w:rFonts w:ascii="Times New Roman" w:eastAsia="Times New Roman" w:hAnsi="Times New Roman" w:cs="Times New Roman"/>
          <w:sz w:val="28"/>
          <w:szCs w:val="28"/>
          <w:lang w:eastAsia="ru-RU"/>
        </w:rPr>
        <w:t xml:space="preserve"> муниципальным образованиям области </w:t>
      </w:r>
      <w:r w:rsidR="00CC5908" w:rsidRPr="00CC5908">
        <w:rPr>
          <w:rFonts w:ascii="Times New Roman" w:eastAsia="Times New Roman" w:hAnsi="Times New Roman" w:cs="Times New Roman"/>
          <w:sz w:val="28"/>
          <w:szCs w:val="28"/>
          <w:lang w:eastAsia="ru-RU"/>
        </w:rPr>
        <w:t>для частичного покрытия дефицитов местных бюджетов с направлением средств на финансирование бюджетных обязательств местных бюджетов</w:t>
      </w:r>
      <w:r w:rsidR="00CC5908">
        <w:rPr>
          <w:rFonts w:ascii="Times New Roman" w:eastAsia="Times New Roman" w:hAnsi="Times New Roman" w:cs="Times New Roman"/>
          <w:sz w:val="28"/>
          <w:szCs w:val="28"/>
          <w:lang w:eastAsia="ru-RU"/>
        </w:rPr>
        <w:t>, а также</w:t>
      </w:r>
      <w:r w:rsidR="00CC5908" w:rsidRPr="000D66B6">
        <w:rPr>
          <w:rFonts w:ascii="Times New Roman" w:eastAsia="Times New Roman" w:hAnsi="Times New Roman" w:cs="Times New Roman"/>
          <w:sz w:val="28"/>
          <w:szCs w:val="28"/>
          <w:lang w:eastAsia="ru-RU"/>
        </w:rPr>
        <w:t xml:space="preserve"> </w:t>
      </w:r>
      <w:r w:rsidR="00CC5908" w:rsidRPr="00CC5908">
        <w:rPr>
          <w:rFonts w:ascii="Times New Roman" w:eastAsia="Times New Roman" w:hAnsi="Times New Roman" w:cs="Times New Roman"/>
          <w:sz w:val="28"/>
          <w:szCs w:val="28"/>
          <w:lang w:eastAsia="ru-RU"/>
        </w:rPr>
        <w:t>для строительства (реконструкции), капитального ремонта, ремонта и содержания автомобильных дорог общего пользования местного значения</w:t>
      </w:r>
      <w:r w:rsidR="00CC5908">
        <w:rPr>
          <w:rFonts w:ascii="Times New Roman" w:eastAsia="Times New Roman" w:hAnsi="Times New Roman" w:cs="Times New Roman"/>
          <w:sz w:val="28"/>
          <w:szCs w:val="28"/>
          <w:lang w:eastAsia="ru-RU"/>
        </w:rPr>
        <w:t>.</w:t>
      </w:r>
    </w:p>
    <w:p w14:paraId="49F04E38" w14:textId="2EB11C16" w:rsidR="008866ED" w:rsidRDefault="004D7A0D" w:rsidP="004623D1">
      <w:pPr>
        <w:pStyle w:val="a3"/>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866ED">
        <w:rPr>
          <w:rFonts w:ascii="Times New Roman" w:eastAsia="Times New Roman" w:hAnsi="Times New Roman" w:cs="Times New Roman"/>
          <w:sz w:val="28"/>
          <w:szCs w:val="28"/>
          <w:lang w:eastAsia="ru-RU"/>
        </w:rPr>
        <w:t xml:space="preserve">Планируется </w:t>
      </w:r>
      <w:r w:rsidR="006C74C4">
        <w:rPr>
          <w:rFonts w:ascii="Times New Roman" w:eastAsia="Times New Roman" w:hAnsi="Times New Roman" w:cs="Times New Roman"/>
          <w:sz w:val="28"/>
          <w:szCs w:val="28"/>
          <w:lang w:eastAsia="ru-RU"/>
        </w:rPr>
        <w:t xml:space="preserve">предусмотреть возможность проведения </w:t>
      </w:r>
      <w:r w:rsidRPr="008866ED">
        <w:rPr>
          <w:rFonts w:ascii="Times New Roman" w:eastAsia="Times New Roman" w:hAnsi="Times New Roman" w:cs="Times New Roman"/>
          <w:sz w:val="28"/>
          <w:szCs w:val="28"/>
          <w:lang w:eastAsia="ru-RU"/>
        </w:rPr>
        <w:t>реструктуризаци</w:t>
      </w:r>
      <w:r w:rsidR="006C74C4">
        <w:rPr>
          <w:rFonts w:ascii="Times New Roman" w:eastAsia="Times New Roman" w:hAnsi="Times New Roman" w:cs="Times New Roman"/>
          <w:sz w:val="28"/>
          <w:szCs w:val="28"/>
          <w:lang w:eastAsia="ru-RU"/>
        </w:rPr>
        <w:t>и</w:t>
      </w:r>
      <w:r w:rsidRPr="008866ED">
        <w:rPr>
          <w:rFonts w:ascii="Times New Roman" w:eastAsia="Times New Roman" w:hAnsi="Times New Roman" w:cs="Times New Roman"/>
          <w:sz w:val="28"/>
          <w:szCs w:val="28"/>
          <w:lang w:eastAsia="ru-RU"/>
        </w:rPr>
        <w:t xml:space="preserve"> ранее </w:t>
      </w:r>
      <w:r w:rsidR="006C74C4">
        <w:rPr>
          <w:rFonts w:ascii="Times New Roman" w:eastAsia="Times New Roman" w:hAnsi="Times New Roman" w:cs="Times New Roman"/>
          <w:sz w:val="28"/>
          <w:szCs w:val="28"/>
          <w:lang w:eastAsia="ru-RU"/>
        </w:rPr>
        <w:t>выданных</w:t>
      </w:r>
      <w:r w:rsidRPr="008866ED">
        <w:rPr>
          <w:rFonts w:ascii="Times New Roman" w:eastAsia="Times New Roman" w:hAnsi="Times New Roman" w:cs="Times New Roman"/>
          <w:sz w:val="28"/>
          <w:szCs w:val="28"/>
          <w:lang w:eastAsia="ru-RU"/>
        </w:rPr>
        <w:t xml:space="preserve"> муниципальным образованиям области </w:t>
      </w:r>
      <w:r w:rsidR="006C74C4">
        <w:rPr>
          <w:rFonts w:ascii="Times New Roman" w:eastAsia="Times New Roman" w:hAnsi="Times New Roman" w:cs="Times New Roman"/>
          <w:sz w:val="28"/>
          <w:szCs w:val="28"/>
          <w:lang w:eastAsia="ru-RU"/>
        </w:rPr>
        <w:t>бюджетных кредитов, предоставленных</w:t>
      </w:r>
      <w:r w:rsidR="008866ED" w:rsidRPr="008866ED">
        <w:rPr>
          <w:rFonts w:ascii="Times New Roman" w:eastAsia="Times New Roman" w:hAnsi="Times New Roman" w:cs="Times New Roman"/>
          <w:sz w:val="28"/>
          <w:szCs w:val="28"/>
          <w:lang w:eastAsia="ru-RU"/>
        </w:rPr>
        <w:t xml:space="preserve"> из областного бюджета на</w:t>
      </w:r>
      <w:r w:rsidR="000D66B6">
        <w:rPr>
          <w:rFonts w:ascii="Times New Roman" w:eastAsia="Times New Roman" w:hAnsi="Times New Roman" w:cs="Times New Roman"/>
          <w:sz w:val="28"/>
          <w:szCs w:val="28"/>
          <w:lang w:eastAsia="ru-RU"/>
        </w:rPr>
        <w:t xml:space="preserve"> </w:t>
      </w:r>
      <w:r w:rsidR="008866ED" w:rsidRPr="008866ED">
        <w:rPr>
          <w:rFonts w:ascii="Times New Roman" w:eastAsia="Times New Roman" w:hAnsi="Times New Roman" w:cs="Times New Roman"/>
          <w:sz w:val="28"/>
          <w:szCs w:val="28"/>
          <w:lang w:eastAsia="ru-RU"/>
        </w:rPr>
        <w:t>условиях</w:t>
      </w:r>
      <w:r w:rsidR="000D66B6">
        <w:rPr>
          <w:rFonts w:ascii="Times New Roman" w:eastAsia="Times New Roman" w:hAnsi="Times New Roman" w:cs="Times New Roman"/>
          <w:sz w:val="28"/>
          <w:szCs w:val="28"/>
          <w:lang w:eastAsia="ru-RU"/>
        </w:rPr>
        <w:t>, которые будут определены в законе об областном бюджете на 2018-2020 годы.</w:t>
      </w:r>
      <w:r w:rsidR="008866ED" w:rsidRPr="008866ED">
        <w:rPr>
          <w:rFonts w:ascii="Times New Roman" w:eastAsia="Times New Roman" w:hAnsi="Times New Roman" w:cs="Times New Roman"/>
          <w:sz w:val="28"/>
          <w:szCs w:val="28"/>
          <w:lang w:eastAsia="ru-RU"/>
        </w:rPr>
        <w:t xml:space="preserve"> </w:t>
      </w:r>
    </w:p>
    <w:p w14:paraId="5B8F3715" w14:textId="5A3108E0" w:rsidR="000D66B6" w:rsidRPr="008866ED" w:rsidRDefault="00D16872" w:rsidP="004623D1">
      <w:pPr>
        <w:pStyle w:val="a3"/>
        <w:widowControl w:val="0"/>
        <w:numPr>
          <w:ilvl w:val="0"/>
          <w:numId w:val="2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осуществления мер по социально-экономическому развитию и финансовому оздоровлению муниципальных образований региона распространить обязательства, принимаемые Иркутской областью при заключении соглашений с Минфином России о предоставлении дотации на выравнивание бюджетной обеспеченности субъектов Российской Федерации, на муниципальные образования-получателей дотации на выравнивание бюджетной обеспеченности.</w:t>
      </w:r>
    </w:p>
    <w:p w14:paraId="409E0F6D" w14:textId="77777777" w:rsidR="008866ED" w:rsidRPr="00166A34" w:rsidRDefault="008866ED" w:rsidP="004623D1">
      <w:pPr>
        <w:widowControl w:val="0"/>
        <w:tabs>
          <w:tab w:val="left" w:pos="993"/>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4E2BC84A" w14:textId="4E0C96FA" w:rsidR="005C7083" w:rsidRPr="00C72235" w:rsidRDefault="00D24500" w:rsidP="00894B3B">
      <w:pPr>
        <w:pStyle w:val="3"/>
        <w:rPr>
          <w:rFonts w:ascii="Times New Roman" w:hAnsi="Times New Roman" w:cs="Times New Roman"/>
          <w:i/>
          <w:sz w:val="28"/>
        </w:rPr>
      </w:pPr>
      <w:bookmarkStart w:id="12" w:name="_Toc496702987"/>
      <w:r w:rsidRPr="00C72235">
        <w:rPr>
          <w:rFonts w:ascii="Times New Roman" w:hAnsi="Times New Roman" w:cs="Times New Roman"/>
          <w:i/>
          <w:sz w:val="28"/>
        </w:rPr>
        <w:t xml:space="preserve">2.4 </w:t>
      </w:r>
      <w:r w:rsidR="004F0C3B" w:rsidRPr="00C72235">
        <w:rPr>
          <w:rFonts w:ascii="Times New Roman" w:hAnsi="Times New Roman" w:cs="Times New Roman"/>
          <w:i/>
          <w:sz w:val="28"/>
        </w:rPr>
        <w:t>Управление государственным долгом Иркутской области</w:t>
      </w:r>
      <w:bookmarkEnd w:id="12"/>
    </w:p>
    <w:p w14:paraId="6D5989FA" w14:textId="77777777" w:rsidR="00020947" w:rsidRDefault="00020947" w:rsidP="005B03B9">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66A34">
        <w:rPr>
          <w:rFonts w:ascii="Times New Roman" w:eastAsia="Times New Roman" w:hAnsi="Times New Roman" w:cs="Times New Roman"/>
          <w:sz w:val="28"/>
          <w:szCs w:val="28"/>
          <w:lang w:eastAsia="ru-RU"/>
        </w:rPr>
        <w:t xml:space="preserve">Отдельным направлением бюджетной политики, непосредственно связанным с обеспечением устойчивости бюджетной системы Иркутской области, является политика в области управления государственным долгом. </w:t>
      </w:r>
      <w:r>
        <w:rPr>
          <w:rFonts w:ascii="Times New Roman" w:eastAsia="Times New Roman" w:hAnsi="Times New Roman" w:cs="Times New Roman"/>
          <w:vanish/>
          <w:sz w:val="28"/>
          <w:szCs w:val="28"/>
          <w:lang w:eastAsia="ru-RU"/>
        </w:rPr>
        <w:cr/>
        <w:t>еред управлением государственным долгорегионатим Российской Федерации значении 100%, что свидетельствует о достаточном запасе у</w:t>
      </w:r>
    </w:p>
    <w:p w14:paraId="119108B1" w14:textId="388FAF00" w:rsidR="001F1B69" w:rsidRDefault="00020947" w:rsidP="005B03B9">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Ограничения</w:t>
      </w:r>
      <w:r w:rsidR="001F1B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установленные для Иркутской области, как заемщику кредитных ресурсов из федераль</w:t>
      </w:r>
      <w:r w:rsidR="001F1B69">
        <w:rPr>
          <w:rFonts w:ascii="Times New Roman" w:eastAsia="Times New Roman" w:hAnsi="Times New Roman" w:cs="Times New Roman"/>
          <w:sz w:val="28"/>
          <w:szCs w:val="28"/>
          <w:lang w:eastAsia="ru-RU"/>
        </w:rPr>
        <w:t>ного бюджета, предопределили следующие основные направления долговой политики на 2018-2020 годы:</w:t>
      </w:r>
    </w:p>
    <w:p w14:paraId="4E79FA99" w14:textId="48293BF1" w:rsidR="001F1B69" w:rsidRDefault="001F1B69" w:rsidP="005B03B9">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66A34">
        <w:rPr>
          <w:rFonts w:ascii="Times New Roman" w:eastAsia="Times New Roman" w:hAnsi="Times New Roman" w:cs="Times New Roman"/>
          <w:sz w:val="28"/>
          <w:szCs w:val="28"/>
          <w:lang w:eastAsia="ru-RU"/>
        </w:rPr>
        <w:t>поддержание</w:t>
      </w:r>
      <w:r>
        <w:rPr>
          <w:rFonts w:ascii="Times New Roman" w:eastAsia="Times New Roman" w:hAnsi="Times New Roman" w:cs="Times New Roman"/>
          <w:sz w:val="28"/>
          <w:szCs w:val="28"/>
          <w:lang w:eastAsia="ru-RU"/>
        </w:rPr>
        <w:t xml:space="preserve"> высокого уровня долговой устойчивости региона;</w:t>
      </w:r>
    </w:p>
    <w:p w14:paraId="14101603" w14:textId="1E4ADB14" w:rsidR="001F1B69" w:rsidRDefault="001F1B69" w:rsidP="005B03B9">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систематического отбора форм заимствований, максимально соответствующих потребностям областного бюджета и способствующих снижению стоимости заимствований;</w:t>
      </w:r>
    </w:p>
    <w:p w14:paraId="70ED77FF" w14:textId="4A979FAA" w:rsidR="001F1B69" w:rsidRDefault="001F1B69" w:rsidP="005B03B9">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F1B69">
        <w:rPr>
          <w:rFonts w:ascii="Times New Roman" w:eastAsia="Times New Roman" w:hAnsi="Times New Roman" w:cs="Times New Roman"/>
          <w:sz w:val="28"/>
          <w:szCs w:val="28"/>
          <w:lang w:eastAsia="ru-RU"/>
        </w:rPr>
        <w:t xml:space="preserve">снижение долговой нагрузки </w:t>
      </w:r>
      <w:r>
        <w:rPr>
          <w:rFonts w:ascii="Times New Roman" w:eastAsia="Times New Roman" w:hAnsi="Times New Roman" w:cs="Times New Roman"/>
          <w:sz w:val="28"/>
          <w:szCs w:val="28"/>
          <w:lang w:eastAsia="ru-RU"/>
        </w:rPr>
        <w:t>и оптимизация общего объема заимствований путем первоочередного направления дополнительных доходов и (или) экономии расходов при исполнении бюджета на сокращение объема государственного долга Иркутской области;</w:t>
      </w:r>
    </w:p>
    <w:p w14:paraId="761CD155" w14:textId="3787621D" w:rsidR="001F1B69" w:rsidRDefault="00143595" w:rsidP="005B03B9">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механизмов оперативного управления долговыми обязательствами Иркутской области (досрочное погашение долговых обязательств, досрочный выкуп облигационных займов, возможность осуществления реструктуризации и рефинансирования имеющихся долговых обязательств и т.д.);</w:t>
      </w:r>
    </w:p>
    <w:p w14:paraId="5FCBD37E" w14:textId="4A7C2FDD" w:rsidR="00143595" w:rsidRDefault="00143595" w:rsidP="005B03B9">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минимизация стоимости заимствований;</w:t>
      </w:r>
    </w:p>
    <w:p w14:paraId="297D6443" w14:textId="775B4C4A" w:rsidR="00143595" w:rsidRDefault="00143595" w:rsidP="005B03B9">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ликвидностью областного бюджета.</w:t>
      </w:r>
    </w:p>
    <w:p w14:paraId="4C3FCB6C" w14:textId="2849CE8C" w:rsidR="00C72235" w:rsidRDefault="004260D3" w:rsidP="00C72235">
      <w:pPr>
        <w:pStyle w:val="a3"/>
        <w:widowControl w:val="0"/>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Основные направления</w:t>
      </w:r>
      <w:r w:rsidR="00143595">
        <w:rPr>
          <w:rFonts w:ascii="Times New Roman" w:eastAsia="Times New Roman" w:hAnsi="Times New Roman" w:cs="Times New Roman"/>
          <w:sz w:val="28"/>
          <w:szCs w:val="28"/>
          <w:lang w:eastAsia="ru-RU"/>
        </w:rPr>
        <w:t xml:space="preserve"> долговой политики региона по условиям, заключенных с Минфином России Соглашений о привлечении кредитных ресурсов из федерального бюджета в целях замещения обязательств по кредитам кредитных организаций и ранее привлеченных кредитов из федерального бюджета, </w:t>
      </w:r>
      <w:r w:rsidR="00D16872">
        <w:rPr>
          <w:rFonts w:ascii="Times New Roman" w:eastAsia="Times New Roman" w:hAnsi="Times New Roman" w:cs="Times New Roman"/>
          <w:sz w:val="28"/>
          <w:szCs w:val="28"/>
          <w:lang w:eastAsia="ru-RU"/>
        </w:rPr>
        <w:t>утверждены распоряжением П</w:t>
      </w:r>
      <w:r w:rsidR="001E53F8">
        <w:rPr>
          <w:rFonts w:ascii="Times New Roman" w:eastAsia="Times New Roman" w:hAnsi="Times New Roman" w:cs="Times New Roman"/>
          <w:sz w:val="28"/>
          <w:szCs w:val="28"/>
          <w:lang w:eastAsia="ru-RU"/>
        </w:rPr>
        <w:t xml:space="preserve">равительства </w:t>
      </w:r>
      <w:r w:rsidR="00143595">
        <w:rPr>
          <w:rFonts w:ascii="Times New Roman" w:eastAsia="Times New Roman" w:hAnsi="Times New Roman" w:cs="Times New Roman"/>
          <w:sz w:val="28"/>
          <w:szCs w:val="28"/>
          <w:lang w:eastAsia="ru-RU"/>
        </w:rPr>
        <w:t>Иркутской области</w:t>
      </w:r>
      <w:r w:rsidR="00D16872">
        <w:rPr>
          <w:rFonts w:ascii="Times New Roman" w:eastAsia="Times New Roman" w:hAnsi="Times New Roman" w:cs="Times New Roman"/>
          <w:sz w:val="28"/>
          <w:szCs w:val="28"/>
          <w:lang w:eastAsia="ru-RU"/>
        </w:rPr>
        <w:t xml:space="preserve"> от 18.10.2017 № 563-рп</w:t>
      </w:r>
      <w:r w:rsidR="00143595">
        <w:rPr>
          <w:rFonts w:ascii="Times New Roman" w:eastAsia="Times New Roman" w:hAnsi="Times New Roman" w:cs="Times New Roman"/>
          <w:sz w:val="28"/>
          <w:szCs w:val="28"/>
          <w:lang w:eastAsia="ru-RU"/>
        </w:rPr>
        <w:t>.</w:t>
      </w:r>
    </w:p>
    <w:p w14:paraId="328596B2" w14:textId="77777777" w:rsidR="00D16872" w:rsidRPr="00D16872" w:rsidRDefault="00D16872" w:rsidP="00C72235">
      <w:pPr>
        <w:pStyle w:val="a3"/>
        <w:widowControl w:val="0"/>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14"/>
          <w:szCs w:val="28"/>
          <w:lang w:eastAsia="ru-RU"/>
        </w:rPr>
      </w:pPr>
    </w:p>
    <w:p w14:paraId="568A9AE3" w14:textId="34618FEC" w:rsidR="00800A10" w:rsidRPr="00D16872" w:rsidRDefault="00D24500" w:rsidP="00D16872">
      <w:pPr>
        <w:pStyle w:val="3"/>
        <w:rPr>
          <w:rFonts w:ascii="Times New Roman" w:hAnsi="Times New Roman" w:cs="Times New Roman"/>
          <w:i/>
          <w:sz w:val="28"/>
        </w:rPr>
      </w:pPr>
      <w:bookmarkStart w:id="13" w:name="_Toc496702988"/>
      <w:r w:rsidRPr="00C72235">
        <w:rPr>
          <w:rFonts w:ascii="Times New Roman" w:hAnsi="Times New Roman" w:cs="Times New Roman"/>
          <w:i/>
          <w:sz w:val="28"/>
        </w:rPr>
        <w:t xml:space="preserve">2.5 </w:t>
      </w:r>
      <w:r w:rsidR="00800A10" w:rsidRPr="00C72235">
        <w:rPr>
          <w:rFonts w:ascii="Times New Roman" w:hAnsi="Times New Roman" w:cs="Times New Roman"/>
          <w:i/>
          <w:sz w:val="28"/>
        </w:rPr>
        <w:t>Вовлечение граждан в бюджетный процесс</w:t>
      </w:r>
      <w:r w:rsidR="00800A10" w:rsidRPr="00D16872">
        <w:rPr>
          <w:rFonts w:ascii="Times New Roman" w:hAnsi="Times New Roman" w:cs="Times New Roman"/>
          <w:i/>
          <w:sz w:val="28"/>
        </w:rPr>
        <w:t>.</w:t>
      </w:r>
      <w:bookmarkEnd w:id="13"/>
    </w:p>
    <w:p w14:paraId="30F5568D" w14:textId="77777777" w:rsidR="001E53F8" w:rsidRPr="001E53F8" w:rsidRDefault="001E53F8"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E53F8">
        <w:rPr>
          <w:rFonts w:ascii="Times New Roman" w:eastAsia="Times New Roman" w:hAnsi="Times New Roman" w:cs="Times New Roman"/>
          <w:sz w:val="28"/>
          <w:szCs w:val="28"/>
          <w:lang w:eastAsia="ru-RU"/>
        </w:rPr>
        <w:t>Существенное значение для эффективного управления государственными финансами имеет вовлечение граждан в бюджетный процесс и обеспечение общественного контроля за расходованием бюджетных средств.</w:t>
      </w:r>
    </w:p>
    <w:p w14:paraId="4F0622BC" w14:textId="0DA35C7D" w:rsidR="001E53F8" w:rsidRPr="001E53F8" w:rsidRDefault="001E53F8"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1E53F8">
        <w:rPr>
          <w:rFonts w:ascii="Times New Roman" w:eastAsia="Times New Roman" w:hAnsi="Times New Roman" w:cs="Times New Roman"/>
          <w:sz w:val="28"/>
          <w:szCs w:val="28"/>
          <w:lang w:eastAsia="ru-RU"/>
        </w:rPr>
        <w:t>ля организации учета мнения граждан при решении бюджетных вопросов при министерстве финансов Иркутской области осуществляет свою деятельность специально созданный Общественный совет.</w:t>
      </w:r>
    </w:p>
    <w:p w14:paraId="396F5306" w14:textId="4F1FEB72" w:rsidR="001E53F8" w:rsidRPr="001E53F8" w:rsidRDefault="001E53F8"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E53F8">
        <w:rPr>
          <w:rFonts w:ascii="Times New Roman" w:eastAsia="Times New Roman" w:hAnsi="Times New Roman" w:cs="Times New Roman"/>
          <w:sz w:val="28"/>
          <w:szCs w:val="28"/>
          <w:lang w:eastAsia="ru-RU"/>
        </w:rPr>
        <w:t>В целях обеспечения доступности информации о бюджете и бюджетной системе региона для широкого круга лиц, а также в целях обеспечения качества проведения общественного контроля ключевыми задачами в направлении вовлечения граждан в бюджетный процесс на плановый период обозначены повышение уровня открытости и понятности бюджетных данных и повышение уровня знаний населения в вопросах, касающихся финансовой сферы.</w:t>
      </w:r>
    </w:p>
    <w:p w14:paraId="7ED0E704" w14:textId="3EDDF6E0" w:rsidR="001E53F8" w:rsidRPr="001E53F8" w:rsidRDefault="00C72235"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качестве средств</w:t>
      </w:r>
      <w:r w:rsidRPr="001E53F8">
        <w:rPr>
          <w:rFonts w:ascii="Times New Roman" w:eastAsia="Times New Roman" w:hAnsi="Times New Roman" w:cs="Times New Roman"/>
          <w:sz w:val="28"/>
          <w:szCs w:val="28"/>
          <w:lang w:eastAsia="ru-RU"/>
        </w:rPr>
        <w:t xml:space="preserve"> популяризации</w:t>
      </w:r>
      <w:r w:rsidR="001E53F8" w:rsidRPr="001E53F8">
        <w:rPr>
          <w:rFonts w:ascii="Times New Roman" w:eastAsia="Times New Roman" w:hAnsi="Times New Roman" w:cs="Times New Roman"/>
          <w:sz w:val="28"/>
          <w:szCs w:val="28"/>
          <w:lang w:eastAsia="ru-RU"/>
        </w:rPr>
        <w:t xml:space="preserve"> бюджетной информации среди молодежи </w:t>
      </w:r>
      <w:r w:rsidR="00D16872">
        <w:rPr>
          <w:rFonts w:ascii="Times New Roman" w:eastAsia="Times New Roman" w:hAnsi="Times New Roman" w:cs="Times New Roman"/>
          <w:sz w:val="28"/>
          <w:szCs w:val="28"/>
          <w:lang w:eastAsia="ru-RU"/>
        </w:rPr>
        <w:t>будет продолжено</w:t>
      </w:r>
      <w:r w:rsidR="001E53F8" w:rsidRPr="001E53F8">
        <w:rPr>
          <w:rFonts w:ascii="Times New Roman" w:eastAsia="Times New Roman" w:hAnsi="Times New Roman" w:cs="Times New Roman"/>
          <w:sz w:val="28"/>
          <w:szCs w:val="28"/>
          <w:lang w:eastAsia="ru-RU"/>
        </w:rPr>
        <w:t xml:space="preserve"> ведение официальной группы министерства финансов Иркутской области в социальной сети «</w:t>
      </w:r>
      <w:proofErr w:type="spellStart"/>
      <w:r w:rsidR="001E53F8" w:rsidRPr="001E53F8">
        <w:rPr>
          <w:rFonts w:ascii="Times New Roman" w:eastAsia="Times New Roman" w:hAnsi="Times New Roman" w:cs="Times New Roman"/>
          <w:sz w:val="28"/>
          <w:szCs w:val="28"/>
          <w:lang w:eastAsia="ru-RU"/>
        </w:rPr>
        <w:t>Вконтакте</w:t>
      </w:r>
      <w:proofErr w:type="spellEnd"/>
      <w:r w:rsidR="001E53F8" w:rsidRPr="001E53F8">
        <w:rPr>
          <w:rFonts w:ascii="Times New Roman" w:eastAsia="Times New Roman" w:hAnsi="Times New Roman" w:cs="Times New Roman"/>
          <w:sz w:val="28"/>
          <w:szCs w:val="28"/>
          <w:lang w:eastAsia="ru-RU"/>
        </w:rPr>
        <w:t>».</w:t>
      </w:r>
    </w:p>
    <w:p w14:paraId="2F3B7C7D" w14:textId="3601A810" w:rsidR="001E53F8" w:rsidRPr="001E53F8" w:rsidRDefault="002172D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w:t>
      </w:r>
      <w:r w:rsidR="001E53F8" w:rsidRPr="001E53F8">
        <w:rPr>
          <w:rFonts w:ascii="Times New Roman" w:eastAsia="Times New Roman" w:hAnsi="Times New Roman" w:cs="Times New Roman"/>
          <w:sz w:val="28"/>
          <w:szCs w:val="28"/>
          <w:lang w:eastAsia="ru-RU"/>
        </w:rPr>
        <w:t xml:space="preserve"> продолжится подготовка брошюр для граждан «Бюджет Иркутской области» и других дополнительных информационно-разъяснительных материалов на всех стадиях бюджетного процесса Иркутской области. Печатные версии брошюр распространя</w:t>
      </w:r>
      <w:r w:rsidR="00D16872">
        <w:rPr>
          <w:rFonts w:ascii="Times New Roman" w:eastAsia="Times New Roman" w:hAnsi="Times New Roman" w:cs="Times New Roman"/>
          <w:sz w:val="28"/>
          <w:szCs w:val="28"/>
          <w:lang w:eastAsia="ru-RU"/>
        </w:rPr>
        <w:t>ю</w:t>
      </w:r>
      <w:r w:rsidR="001E53F8" w:rsidRPr="001E53F8">
        <w:rPr>
          <w:rFonts w:ascii="Times New Roman" w:eastAsia="Times New Roman" w:hAnsi="Times New Roman" w:cs="Times New Roman"/>
          <w:sz w:val="28"/>
          <w:szCs w:val="28"/>
          <w:lang w:eastAsia="ru-RU"/>
        </w:rPr>
        <w:t>тся среди государственных библиотек и учреждений культуры Иркутской области, высших учебных заведений, государственных организаций профессионального образования региона, использующих указанные брошюры в образовательном процессе в качестве наглядных пособий. В электронном виде материалы размещены в общем доступе на официальном сайте «Открытый бюджет Иркутской области».</w:t>
      </w:r>
    </w:p>
    <w:p w14:paraId="1823A0F4" w14:textId="653FEFA2" w:rsidR="001E53F8" w:rsidRPr="001E53F8" w:rsidRDefault="002172D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E53F8">
        <w:rPr>
          <w:rFonts w:ascii="Times New Roman" w:eastAsia="Times New Roman" w:hAnsi="Times New Roman" w:cs="Times New Roman"/>
          <w:sz w:val="28"/>
          <w:szCs w:val="28"/>
          <w:lang w:eastAsia="ru-RU"/>
        </w:rPr>
        <w:t>Для обеспечения понятности информации о бюджетах муниципальных образований области для населения будет продолжена практика проведения</w:t>
      </w:r>
      <w:r w:rsidR="001E53F8" w:rsidRPr="001E53F8">
        <w:rPr>
          <w:rFonts w:ascii="Times New Roman" w:eastAsia="Times New Roman" w:hAnsi="Times New Roman" w:cs="Times New Roman"/>
          <w:sz w:val="28"/>
          <w:szCs w:val="28"/>
          <w:lang w:eastAsia="ru-RU"/>
        </w:rPr>
        <w:t xml:space="preserve"> конкурс</w:t>
      </w:r>
      <w:r>
        <w:rPr>
          <w:rFonts w:ascii="Times New Roman" w:eastAsia="Times New Roman" w:hAnsi="Times New Roman" w:cs="Times New Roman"/>
          <w:sz w:val="28"/>
          <w:szCs w:val="28"/>
          <w:lang w:eastAsia="ru-RU"/>
        </w:rPr>
        <w:t>а</w:t>
      </w:r>
      <w:r w:rsidR="001E53F8" w:rsidRPr="001E53F8">
        <w:rPr>
          <w:rFonts w:ascii="Times New Roman" w:eastAsia="Times New Roman" w:hAnsi="Times New Roman" w:cs="Times New Roman"/>
          <w:sz w:val="28"/>
          <w:szCs w:val="28"/>
          <w:lang w:eastAsia="ru-RU"/>
        </w:rPr>
        <w:t xml:space="preserve"> проектов по представлению бюджетов муниципальных образований в доступной для граждан форме</w:t>
      </w:r>
      <w:r>
        <w:rPr>
          <w:rFonts w:ascii="Times New Roman" w:eastAsia="Times New Roman" w:hAnsi="Times New Roman" w:cs="Times New Roman"/>
          <w:sz w:val="28"/>
          <w:szCs w:val="28"/>
          <w:lang w:eastAsia="ru-RU"/>
        </w:rPr>
        <w:t>, впервые проведенного в 2017 году</w:t>
      </w:r>
      <w:r w:rsidR="001E53F8" w:rsidRPr="001E53F8">
        <w:rPr>
          <w:rFonts w:ascii="Times New Roman" w:eastAsia="Times New Roman" w:hAnsi="Times New Roman" w:cs="Times New Roman"/>
          <w:sz w:val="28"/>
          <w:szCs w:val="28"/>
          <w:lang w:eastAsia="ru-RU"/>
        </w:rPr>
        <w:t>.</w:t>
      </w:r>
    </w:p>
    <w:p w14:paraId="29E26671" w14:textId="1D47752B" w:rsidR="001E53F8" w:rsidRPr="001E53F8" w:rsidRDefault="002172D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E53F8" w:rsidRPr="001E53F8">
        <w:rPr>
          <w:rFonts w:ascii="Times New Roman" w:eastAsia="Times New Roman" w:hAnsi="Times New Roman" w:cs="Times New Roman"/>
          <w:sz w:val="28"/>
          <w:szCs w:val="28"/>
          <w:lang w:eastAsia="ru-RU"/>
        </w:rPr>
        <w:t>ля выявления и распространения лучшей практики формирования бюджета в формате, обеспечивающем открытость и доступность для граждан, намечено проведение регионального этапа ежегодного федерального конкурса проектов по представлению бюджета для граждан среди населения Иркутской области.</w:t>
      </w:r>
    </w:p>
    <w:p w14:paraId="58C85678" w14:textId="329BF8FE" w:rsidR="001E53F8" w:rsidRPr="001E53F8" w:rsidRDefault="001E53F8"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E53F8">
        <w:rPr>
          <w:rFonts w:ascii="Times New Roman" w:eastAsia="Times New Roman" w:hAnsi="Times New Roman" w:cs="Times New Roman"/>
          <w:sz w:val="28"/>
          <w:szCs w:val="28"/>
          <w:lang w:eastAsia="ru-RU"/>
        </w:rPr>
        <w:t>В рамках реализации Стратегии повышения финансовой грамотности в Российской Федерации на 2017-2023 годы, утвержденной распоряжением Правительства Российской Федерации от 25 сентября 2017 года № 2039-р,</w:t>
      </w:r>
      <w:r w:rsidR="002172DA">
        <w:rPr>
          <w:rFonts w:ascii="Times New Roman" w:eastAsia="Times New Roman" w:hAnsi="Times New Roman" w:cs="Times New Roman"/>
          <w:sz w:val="28"/>
          <w:szCs w:val="28"/>
          <w:lang w:eastAsia="ru-RU"/>
        </w:rPr>
        <w:t xml:space="preserve"> </w:t>
      </w:r>
      <w:r w:rsidRPr="001E53F8">
        <w:rPr>
          <w:rFonts w:ascii="Times New Roman" w:eastAsia="Times New Roman" w:hAnsi="Times New Roman" w:cs="Times New Roman"/>
          <w:sz w:val="28"/>
          <w:szCs w:val="28"/>
          <w:lang w:eastAsia="ru-RU"/>
        </w:rPr>
        <w:t>в 2018</w:t>
      </w:r>
      <w:r w:rsidR="002172DA">
        <w:rPr>
          <w:rFonts w:ascii="Times New Roman" w:eastAsia="Times New Roman" w:hAnsi="Times New Roman" w:cs="Times New Roman"/>
          <w:sz w:val="28"/>
          <w:szCs w:val="28"/>
          <w:lang w:eastAsia="ru-RU"/>
        </w:rPr>
        <w:t>-2020 годах</w:t>
      </w:r>
      <w:r w:rsidRPr="001E53F8">
        <w:rPr>
          <w:rFonts w:ascii="Times New Roman" w:eastAsia="Times New Roman" w:hAnsi="Times New Roman" w:cs="Times New Roman"/>
          <w:sz w:val="28"/>
          <w:szCs w:val="28"/>
          <w:lang w:eastAsia="ru-RU"/>
        </w:rPr>
        <w:t xml:space="preserve"> на территории Иркутской области планируется продолж</w:t>
      </w:r>
      <w:r w:rsidR="008C6A89">
        <w:rPr>
          <w:rFonts w:ascii="Times New Roman" w:eastAsia="Times New Roman" w:hAnsi="Times New Roman" w:cs="Times New Roman"/>
          <w:sz w:val="28"/>
          <w:szCs w:val="28"/>
          <w:lang w:eastAsia="ru-RU"/>
        </w:rPr>
        <w:t>ить</w:t>
      </w:r>
      <w:r w:rsidRPr="001E53F8">
        <w:rPr>
          <w:rFonts w:ascii="Times New Roman" w:eastAsia="Times New Roman" w:hAnsi="Times New Roman" w:cs="Times New Roman"/>
          <w:sz w:val="28"/>
          <w:szCs w:val="28"/>
          <w:lang w:eastAsia="ru-RU"/>
        </w:rPr>
        <w:t xml:space="preserve"> работ</w:t>
      </w:r>
      <w:r w:rsidR="008C6A89">
        <w:rPr>
          <w:rFonts w:ascii="Times New Roman" w:eastAsia="Times New Roman" w:hAnsi="Times New Roman" w:cs="Times New Roman"/>
          <w:sz w:val="28"/>
          <w:szCs w:val="28"/>
          <w:lang w:eastAsia="ru-RU"/>
        </w:rPr>
        <w:t>у</w:t>
      </w:r>
      <w:r w:rsidRPr="001E53F8">
        <w:rPr>
          <w:rFonts w:ascii="Times New Roman" w:eastAsia="Times New Roman" w:hAnsi="Times New Roman" w:cs="Times New Roman"/>
          <w:sz w:val="28"/>
          <w:szCs w:val="28"/>
          <w:lang w:eastAsia="ru-RU"/>
        </w:rPr>
        <w:t xml:space="preserve"> по распространению и популяризации информации о бюджете, а также финансовому просвещению населения.</w:t>
      </w:r>
    </w:p>
    <w:p w14:paraId="18AA31B5" w14:textId="79DCE6E3" w:rsidR="001E53F8" w:rsidRPr="001E53F8" w:rsidRDefault="001E53F8"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E53F8">
        <w:rPr>
          <w:rFonts w:ascii="Times New Roman" w:eastAsia="Times New Roman" w:hAnsi="Times New Roman" w:cs="Times New Roman"/>
          <w:sz w:val="28"/>
          <w:szCs w:val="28"/>
          <w:lang w:eastAsia="ru-RU"/>
        </w:rPr>
        <w:t>В целях организации эффективной работы по финансовому просвещению населения, включая подготовку и реализацию обучающих мероприятий для граждан, при министерстве финансов Иркутской области создана Рабочая группа</w:t>
      </w:r>
      <w:r w:rsidR="008C6A89">
        <w:rPr>
          <w:rFonts w:ascii="Times New Roman" w:eastAsia="Times New Roman" w:hAnsi="Times New Roman" w:cs="Times New Roman"/>
          <w:sz w:val="28"/>
          <w:szCs w:val="28"/>
          <w:lang w:eastAsia="ru-RU"/>
        </w:rPr>
        <w:t xml:space="preserve"> </w:t>
      </w:r>
      <w:r w:rsidRPr="001E53F8">
        <w:rPr>
          <w:rFonts w:ascii="Times New Roman" w:eastAsia="Times New Roman" w:hAnsi="Times New Roman" w:cs="Times New Roman"/>
          <w:sz w:val="28"/>
          <w:szCs w:val="28"/>
          <w:lang w:eastAsia="ru-RU"/>
        </w:rPr>
        <w:t>по повышению уровня финансовой грамотности населения Иркутской области и развитию финансового образования в Иркутской области, куда вошли представители федеральных и областных органов государственной власти, внебюджетных фондов, бизнес-сообщества и организаций высшего образования.</w:t>
      </w:r>
    </w:p>
    <w:p w14:paraId="75A6DDDA" w14:textId="4F31B001" w:rsidR="001E53F8" w:rsidRPr="001E53F8" w:rsidRDefault="001E53F8"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E53F8">
        <w:rPr>
          <w:rFonts w:ascii="Times New Roman" w:eastAsia="Times New Roman" w:hAnsi="Times New Roman" w:cs="Times New Roman"/>
          <w:sz w:val="28"/>
          <w:szCs w:val="28"/>
          <w:lang w:eastAsia="ru-RU"/>
        </w:rPr>
        <w:t xml:space="preserve">В дополнение к </w:t>
      </w:r>
      <w:r w:rsidR="002172DA">
        <w:rPr>
          <w:rFonts w:ascii="Times New Roman" w:eastAsia="Times New Roman" w:hAnsi="Times New Roman" w:cs="Times New Roman"/>
          <w:sz w:val="28"/>
          <w:szCs w:val="28"/>
          <w:lang w:eastAsia="ru-RU"/>
        </w:rPr>
        <w:t>существующим</w:t>
      </w:r>
      <w:r w:rsidRPr="001E53F8">
        <w:rPr>
          <w:rFonts w:ascii="Times New Roman" w:eastAsia="Times New Roman" w:hAnsi="Times New Roman" w:cs="Times New Roman"/>
          <w:sz w:val="28"/>
          <w:szCs w:val="28"/>
          <w:lang w:eastAsia="ru-RU"/>
        </w:rPr>
        <w:t xml:space="preserve"> формам взаимодействия с органами государственной власти, внебюджетными фондами и бизнесом в 2018 году планируется разработка совместного Плана мероприятий (дорожной карты) по повышению уровня финансовой грамотности в образовательных организациях Иркутской области, ответственными исполнителями которого выступят министерство финансов Иркутской области, министерство образования Иркутской области и отделение по Иркутской области Сибирского главного управления Центрального банка Российской Федерации.</w:t>
      </w:r>
    </w:p>
    <w:p w14:paraId="6B02869E" w14:textId="514B9521" w:rsidR="00837D02" w:rsidRDefault="002172DA" w:rsidP="005B03B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Одним</w:t>
      </w:r>
      <w:r w:rsidR="001E53F8" w:rsidRPr="001E53F8">
        <w:rPr>
          <w:rFonts w:ascii="Times New Roman" w:eastAsia="Times New Roman" w:hAnsi="Times New Roman" w:cs="Times New Roman"/>
          <w:sz w:val="28"/>
          <w:szCs w:val="28"/>
          <w:lang w:eastAsia="ru-RU"/>
        </w:rPr>
        <w:t xml:space="preserve"> из основных пунктов в содействии повышению уровня финансовой грамотности населения Иркутской области </w:t>
      </w:r>
      <w:r>
        <w:rPr>
          <w:rFonts w:ascii="Times New Roman" w:eastAsia="Times New Roman" w:hAnsi="Times New Roman" w:cs="Times New Roman"/>
          <w:sz w:val="28"/>
          <w:szCs w:val="28"/>
          <w:lang w:eastAsia="ru-RU"/>
        </w:rPr>
        <w:t xml:space="preserve">станет </w:t>
      </w:r>
      <w:r w:rsidR="001E53F8" w:rsidRPr="001E53F8">
        <w:rPr>
          <w:rFonts w:ascii="Times New Roman" w:eastAsia="Times New Roman" w:hAnsi="Times New Roman" w:cs="Times New Roman"/>
          <w:sz w:val="28"/>
          <w:szCs w:val="28"/>
          <w:lang w:eastAsia="ru-RU"/>
        </w:rPr>
        <w:t xml:space="preserve">поддержка региональных мероприятий по повышению финансовой грамотности, включая олимпиады по финансовой грамотности, проводимые БГУ среди учащихся образовательных организаций региона, а также обеспечение участия </w:t>
      </w:r>
      <w:r>
        <w:rPr>
          <w:rFonts w:ascii="Times New Roman" w:eastAsia="Times New Roman" w:hAnsi="Times New Roman" w:cs="Times New Roman"/>
          <w:sz w:val="28"/>
          <w:szCs w:val="28"/>
          <w:lang w:eastAsia="ru-RU"/>
        </w:rPr>
        <w:t>региона</w:t>
      </w:r>
      <w:r w:rsidR="001E53F8" w:rsidRPr="001E53F8">
        <w:rPr>
          <w:rFonts w:ascii="Times New Roman" w:eastAsia="Times New Roman" w:hAnsi="Times New Roman" w:cs="Times New Roman"/>
          <w:sz w:val="28"/>
          <w:szCs w:val="28"/>
          <w:lang w:eastAsia="ru-RU"/>
        </w:rPr>
        <w:t xml:space="preserve"> в федеральных проектах (программ</w:t>
      </w:r>
      <w:r>
        <w:rPr>
          <w:rFonts w:ascii="Times New Roman" w:eastAsia="Times New Roman" w:hAnsi="Times New Roman" w:cs="Times New Roman"/>
          <w:sz w:val="28"/>
          <w:szCs w:val="28"/>
          <w:lang w:eastAsia="ru-RU"/>
        </w:rPr>
        <w:t>а</w:t>
      </w:r>
      <w:r w:rsidR="001E53F8" w:rsidRPr="001E53F8">
        <w:rPr>
          <w:rFonts w:ascii="Times New Roman" w:eastAsia="Times New Roman" w:hAnsi="Times New Roman" w:cs="Times New Roman"/>
          <w:sz w:val="28"/>
          <w:szCs w:val="28"/>
          <w:lang w:eastAsia="ru-RU"/>
        </w:rPr>
        <w:t xml:space="preserve"> «Дни финансовой грамотности в учебных заведениях», акци</w:t>
      </w:r>
      <w:r>
        <w:rPr>
          <w:rFonts w:ascii="Times New Roman" w:eastAsia="Times New Roman" w:hAnsi="Times New Roman" w:cs="Times New Roman"/>
          <w:sz w:val="28"/>
          <w:szCs w:val="28"/>
          <w:lang w:eastAsia="ru-RU"/>
        </w:rPr>
        <w:t>и</w:t>
      </w:r>
      <w:r w:rsidR="001E53F8" w:rsidRPr="001E53F8">
        <w:rPr>
          <w:rFonts w:ascii="Times New Roman" w:eastAsia="Times New Roman" w:hAnsi="Times New Roman" w:cs="Times New Roman"/>
          <w:sz w:val="28"/>
          <w:szCs w:val="28"/>
          <w:lang w:eastAsia="ru-RU"/>
        </w:rPr>
        <w:t xml:space="preserve"> «Всероссийская неделя финансовой грамотности для детей и молодежи», «Всероссийская неделя сбережений» и др.).</w:t>
      </w:r>
    </w:p>
    <w:p w14:paraId="6E02351B" w14:textId="49425E80" w:rsidR="00F348D1" w:rsidRDefault="00F348D1" w:rsidP="0060769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12302BDF" w14:textId="77777777" w:rsidR="00D24500" w:rsidRPr="00166A34" w:rsidRDefault="00D24500" w:rsidP="0060769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16254524" w14:textId="15D5C250" w:rsidR="00C816D6" w:rsidRDefault="00C816D6" w:rsidP="001334B5">
      <w:pPr>
        <w:spacing w:after="0" w:line="240" w:lineRule="auto"/>
        <w:jc w:val="both"/>
        <w:rPr>
          <w:rFonts w:ascii="Times New Roman" w:eastAsia="Times New Roman" w:hAnsi="Times New Roman" w:cs="Times New Roman"/>
          <w:sz w:val="28"/>
          <w:szCs w:val="28"/>
          <w:lang w:eastAsia="ru-RU"/>
        </w:rPr>
      </w:pPr>
      <w:bookmarkStart w:id="14" w:name="_GoBack"/>
      <w:bookmarkEnd w:id="14"/>
    </w:p>
    <w:sectPr w:rsidR="00C816D6" w:rsidSect="00735094">
      <w:headerReference w:type="default" r:id="rId18"/>
      <w:pgSz w:w="11907" w:h="16840" w:code="9"/>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2F8EB" w14:textId="77777777" w:rsidR="00EA3086" w:rsidRDefault="00EA3086" w:rsidP="00964010">
      <w:pPr>
        <w:spacing w:after="0" w:line="240" w:lineRule="auto"/>
      </w:pPr>
      <w:r>
        <w:separator/>
      </w:r>
    </w:p>
  </w:endnote>
  <w:endnote w:type="continuationSeparator" w:id="0">
    <w:p w14:paraId="5619F573" w14:textId="77777777" w:rsidR="00EA3086" w:rsidRDefault="00EA3086" w:rsidP="0096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DL"/>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1F00C" w14:textId="77777777" w:rsidR="00EA3086" w:rsidRDefault="00EA3086" w:rsidP="00964010">
      <w:pPr>
        <w:spacing w:after="0" w:line="240" w:lineRule="auto"/>
      </w:pPr>
      <w:r>
        <w:separator/>
      </w:r>
    </w:p>
  </w:footnote>
  <w:footnote w:type="continuationSeparator" w:id="0">
    <w:p w14:paraId="43B5C62A" w14:textId="77777777" w:rsidR="00EA3086" w:rsidRDefault="00EA3086" w:rsidP="00964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344425"/>
      <w:docPartObj>
        <w:docPartGallery w:val="Page Numbers (Top of Page)"/>
        <w:docPartUnique/>
      </w:docPartObj>
    </w:sdtPr>
    <w:sdtEndPr>
      <w:rPr>
        <w:rFonts w:ascii="Times New Roman" w:hAnsi="Times New Roman" w:cs="Times New Roman"/>
        <w:sz w:val="28"/>
      </w:rPr>
    </w:sdtEndPr>
    <w:sdtContent>
      <w:p w14:paraId="11277FB1" w14:textId="55937D1F" w:rsidR="00EA3086" w:rsidRPr="00A42CF7" w:rsidRDefault="00EA3086">
        <w:pPr>
          <w:pStyle w:val="ab"/>
          <w:jc w:val="center"/>
          <w:rPr>
            <w:rFonts w:ascii="Times New Roman" w:hAnsi="Times New Roman" w:cs="Times New Roman"/>
            <w:sz w:val="28"/>
          </w:rPr>
        </w:pPr>
        <w:r w:rsidRPr="00A42CF7">
          <w:rPr>
            <w:rFonts w:ascii="Times New Roman" w:hAnsi="Times New Roman" w:cs="Times New Roman"/>
            <w:sz w:val="28"/>
          </w:rPr>
          <w:fldChar w:fldCharType="begin"/>
        </w:r>
        <w:r w:rsidRPr="00A42CF7">
          <w:rPr>
            <w:rFonts w:ascii="Times New Roman" w:hAnsi="Times New Roman" w:cs="Times New Roman"/>
            <w:sz w:val="28"/>
          </w:rPr>
          <w:instrText>PAGE   \* MERGEFORMAT</w:instrText>
        </w:r>
        <w:r w:rsidRPr="00A42CF7">
          <w:rPr>
            <w:rFonts w:ascii="Times New Roman" w:hAnsi="Times New Roman" w:cs="Times New Roman"/>
            <w:sz w:val="28"/>
          </w:rPr>
          <w:fldChar w:fldCharType="separate"/>
        </w:r>
        <w:r w:rsidR="000923C3">
          <w:rPr>
            <w:rFonts w:ascii="Times New Roman" w:hAnsi="Times New Roman" w:cs="Times New Roman"/>
            <w:noProof/>
            <w:sz w:val="28"/>
          </w:rPr>
          <w:t>26</w:t>
        </w:r>
        <w:r w:rsidRPr="00A42CF7">
          <w:rPr>
            <w:rFonts w:ascii="Times New Roman" w:hAnsi="Times New Roman" w:cs="Times New Roman"/>
            <w:sz w:val="28"/>
          </w:rPr>
          <w:fldChar w:fldCharType="end"/>
        </w:r>
      </w:p>
    </w:sdtContent>
  </w:sdt>
  <w:p w14:paraId="2692CF0D" w14:textId="77777777" w:rsidR="00EA3086" w:rsidRDefault="00EA308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F6B"/>
    <w:multiLevelType w:val="hybridMultilevel"/>
    <w:tmpl w:val="AE9AD08E"/>
    <w:lvl w:ilvl="0" w:tplc="6CEC19C4">
      <w:start w:val="1"/>
      <w:numFmt w:val="bullet"/>
      <w:lvlText w:val="-"/>
      <w:lvlJc w:val="left"/>
      <w:pPr>
        <w:tabs>
          <w:tab w:val="num" w:pos="720"/>
        </w:tabs>
        <w:ind w:left="720" w:hanging="360"/>
      </w:pPr>
      <w:rPr>
        <w:rFonts w:ascii="Times New Roman" w:hAnsi="Times New Roman" w:hint="default"/>
      </w:rPr>
    </w:lvl>
    <w:lvl w:ilvl="1" w:tplc="FC248B26" w:tentative="1">
      <w:start w:val="1"/>
      <w:numFmt w:val="bullet"/>
      <w:lvlText w:val="-"/>
      <w:lvlJc w:val="left"/>
      <w:pPr>
        <w:tabs>
          <w:tab w:val="num" w:pos="1440"/>
        </w:tabs>
        <w:ind w:left="1440" w:hanging="360"/>
      </w:pPr>
      <w:rPr>
        <w:rFonts w:ascii="Times New Roman" w:hAnsi="Times New Roman" w:hint="default"/>
      </w:rPr>
    </w:lvl>
    <w:lvl w:ilvl="2" w:tplc="CBA27FE8" w:tentative="1">
      <w:start w:val="1"/>
      <w:numFmt w:val="bullet"/>
      <w:lvlText w:val="-"/>
      <w:lvlJc w:val="left"/>
      <w:pPr>
        <w:tabs>
          <w:tab w:val="num" w:pos="2160"/>
        </w:tabs>
        <w:ind w:left="2160" w:hanging="360"/>
      </w:pPr>
      <w:rPr>
        <w:rFonts w:ascii="Times New Roman" w:hAnsi="Times New Roman" w:hint="default"/>
      </w:rPr>
    </w:lvl>
    <w:lvl w:ilvl="3" w:tplc="8326B7C6" w:tentative="1">
      <w:start w:val="1"/>
      <w:numFmt w:val="bullet"/>
      <w:lvlText w:val="-"/>
      <w:lvlJc w:val="left"/>
      <w:pPr>
        <w:tabs>
          <w:tab w:val="num" w:pos="2880"/>
        </w:tabs>
        <w:ind w:left="2880" w:hanging="360"/>
      </w:pPr>
      <w:rPr>
        <w:rFonts w:ascii="Times New Roman" w:hAnsi="Times New Roman" w:hint="default"/>
      </w:rPr>
    </w:lvl>
    <w:lvl w:ilvl="4" w:tplc="97FE5298" w:tentative="1">
      <w:start w:val="1"/>
      <w:numFmt w:val="bullet"/>
      <w:lvlText w:val="-"/>
      <w:lvlJc w:val="left"/>
      <w:pPr>
        <w:tabs>
          <w:tab w:val="num" w:pos="3600"/>
        </w:tabs>
        <w:ind w:left="3600" w:hanging="360"/>
      </w:pPr>
      <w:rPr>
        <w:rFonts w:ascii="Times New Roman" w:hAnsi="Times New Roman" w:hint="default"/>
      </w:rPr>
    </w:lvl>
    <w:lvl w:ilvl="5" w:tplc="E7740912" w:tentative="1">
      <w:start w:val="1"/>
      <w:numFmt w:val="bullet"/>
      <w:lvlText w:val="-"/>
      <w:lvlJc w:val="left"/>
      <w:pPr>
        <w:tabs>
          <w:tab w:val="num" w:pos="4320"/>
        </w:tabs>
        <w:ind w:left="4320" w:hanging="360"/>
      </w:pPr>
      <w:rPr>
        <w:rFonts w:ascii="Times New Roman" w:hAnsi="Times New Roman" w:hint="default"/>
      </w:rPr>
    </w:lvl>
    <w:lvl w:ilvl="6" w:tplc="473A0784" w:tentative="1">
      <w:start w:val="1"/>
      <w:numFmt w:val="bullet"/>
      <w:lvlText w:val="-"/>
      <w:lvlJc w:val="left"/>
      <w:pPr>
        <w:tabs>
          <w:tab w:val="num" w:pos="5040"/>
        </w:tabs>
        <w:ind w:left="5040" w:hanging="360"/>
      </w:pPr>
      <w:rPr>
        <w:rFonts w:ascii="Times New Roman" w:hAnsi="Times New Roman" w:hint="default"/>
      </w:rPr>
    </w:lvl>
    <w:lvl w:ilvl="7" w:tplc="B3E26808" w:tentative="1">
      <w:start w:val="1"/>
      <w:numFmt w:val="bullet"/>
      <w:lvlText w:val="-"/>
      <w:lvlJc w:val="left"/>
      <w:pPr>
        <w:tabs>
          <w:tab w:val="num" w:pos="5760"/>
        </w:tabs>
        <w:ind w:left="5760" w:hanging="360"/>
      </w:pPr>
      <w:rPr>
        <w:rFonts w:ascii="Times New Roman" w:hAnsi="Times New Roman" w:hint="default"/>
      </w:rPr>
    </w:lvl>
    <w:lvl w:ilvl="8" w:tplc="8F3A218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940AD7"/>
    <w:multiLevelType w:val="hybridMultilevel"/>
    <w:tmpl w:val="31F60DB4"/>
    <w:lvl w:ilvl="0" w:tplc="5002B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74610"/>
    <w:multiLevelType w:val="hybridMultilevel"/>
    <w:tmpl w:val="7F624F9A"/>
    <w:lvl w:ilvl="0" w:tplc="F77AB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281C8F"/>
    <w:multiLevelType w:val="hybridMultilevel"/>
    <w:tmpl w:val="31F60DB4"/>
    <w:lvl w:ilvl="0" w:tplc="5002B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D2265"/>
    <w:multiLevelType w:val="hybridMultilevel"/>
    <w:tmpl w:val="6A98AF3A"/>
    <w:lvl w:ilvl="0" w:tplc="F962A856">
      <w:start w:val="1"/>
      <w:numFmt w:val="decimal"/>
      <w:lvlText w:val="%1."/>
      <w:lvlJc w:val="left"/>
      <w:pPr>
        <w:ind w:left="234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142AF5"/>
    <w:multiLevelType w:val="hybridMultilevel"/>
    <w:tmpl w:val="733EA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96101"/>
    <w:multiLevelType w:val="hybridMultilevel"/>
    <w:tmpl w:val="3C40BB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6D2200F"/>
    <w:multiLevelType w:val="hybridMultilevel"/>
    <w:tmpl w:val="C840BF72"/>
    <w:lvl w:ilvl="0" w:tplc="3138AF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C0175F"/>
    <w:multiLevelType w:val="hybridMultilevel"/>
    <w:tmpl w:val="DC4E3DAA"/>
    <w:lvl w:ilvl="0" w:tplc="4B9899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A35968"/>
    <w:multiLevelType w:val="hybridMultilevel"/>
    <w:tmpl w:val="8E04A8BC"/>
    <w:lvl w:ilvl="0" w:tplc="3C1ED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E06CFC"/>
    <w:multiLevelType w:val="hybridMultilevel"/>
    <w:tmpl w:val="B3C082BC"/>
    <w:lvl w:ilvl="0" w:tplc="ACC8E58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B5790D"/>
    <w:multiLevelType w:val="multilevel"/>
    <w:tmpl w:val="639A5F8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38E86875"/>
    <w:multiLevelType w:val="hybridMultilevel"/>
    <w:tmpl w:val="112E5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112706"/>
    <w:multiLevelType w:val="hybridMultilevel"/>
    <w:tmpl w:val="24C02D36"/>
    <w:lvl w:ilvl="0" w:tplc="3790E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E6F5F5C"/>
    <w:multiLevelType w:val="hybridMultilevel"/>
    <w:tmpl w:val="B3C082BC"/>
    <w:lvl w:ilvl="0" w:tplc="ACC8E58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6F40D14"/>
    <w:multiLevelType w:val="hybridMultilevel"/>
    <w:tmpl w:val="0FDE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D24C05"/>
    <w:multiLevelType w:val="hybridMultilevel"/>
    <w:tmpl w:val="4B60F010"/>
    <w:lvl w:ilvl="0" w:tplc="32E61E5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B50CC0"/>
    <w:multiLevelType w:val="hybridMultilevel"/>
    <w:tmpl w:val="2CA41E3C"/>
    <w:lvl w:ilvl="0" w:tplc="90A48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903BEB"/>
    <w:multiLevelType w:val="hybridMultilevel"/>
    <w:tmpl w:val="BD726AF4"/>
    <w:lvl w:ilvl="0" w:tplc="EC4E10A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5D72E4A"/>
    <w:multiLevelType w:val="hybridMultilevel"/>
    <w:tmpl w:val="DACC64AA"/>
    <w:lvl w:ilvl="0" w:tplc="ECAE5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35C6A9A"/>
    <w:multiLevelType w:val="hybridMultilevel"/>
    <w:tmpl w:val="5E4E4CF4"/>
    <w:lvl w:ilvl="0" w:tplc="A98034D6">
      <w:start w:val="1"/>
      <w:numFmt w:val="decimal"/>
      <w:lvlText w:val="%1."/>
      <w:lvlJc w:val="left"/>
      <w:pPr>
        <w:ind w:left="927" w:hanging="360"/>
      </w:pPr>
      <w:rPr>
        <w:rFonts w:ascii="Times New Roman" w:eastAsia="Times New Roman" w:hAnsi="Times New Roman" w:cs="Times New Roman"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5D13131"/>
    <w:multiLevelType w:val="hybridMultilevel"/>
    <w:tmpl w:val="58D8DD46"/>
    <w:lvl w:ilvl="0" w:tplc="7988BFC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0E5A87"/>
    <w:multiLevelType w:val="hybridMultilevel"/>
    <w:tmpl w:val="445873B8"/>
    <w:lvl w:ilvl="0" w:tplc="E384C05A">
      <w:start w:val="1"/>
      <w:numFmt w:val="decimal"/>
      <w:lvlText w:val="%1."/>
      <w:lvlJc w:val="left"/>
      <w:pPr>
        <w:ind w:left="1070" w:hanging="360"/>
      </w:pPr>
      <w:rPr>
        <w:rFonts w:ascii="Times New Roman" w:eastAsiaTheme="minorHAns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7444A67"/>
    <w:multiLevelType w:val="hybridMultilevel"/>
    <w:tmpl w:val="14869950"/>
    <w:lvl w:ilvl="0" w:tplc="95148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4A1C82"/>
    <w:multiLevelType w:val="hybridMultilevel"/>
    <w:tmpl w:val="9F6684BC"/>
    <w:lvl w:ilvl="0" w:tplc="CD2002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5"/>
  </w:num>
  <w:num w:numId="3">
    <w:abstractNumId w:val="3"/>
  </w:num>
  <w:num w:numId="4">
    <w:abstractNumId w:val="13"/>
  </w:num>
  <w:num w:numId="5">
    <w:abstractNumId w:val="23"/>
  </w:num>
  <w:num w:numId="6">
    <w:abstractNumId w:val="20"/>
  </w:num>
  <w:num w:numId="7">
    <w:abstractNumId w:val="5"/>
  </w:num>
  <w:num w:numId="8">
    <w:abstractNumId w:val="12"/>
  </w:num>
  <w:num w:numId="9">
    <w:abstractNumId w:val="10"/>
  </w:num>
  <w:num w:numId="10">
    <w:abstractNumId w:val="14"/>
  </w:num>
  <w:num w:numId="11">
    <w:abstractNumId w:val="1"/>
  </w:num>
  <w:num w:numId="12">
    <w:abstractNumId w:val="9"/>
  </w:num>
  <w:num w:numId="13">
    <w:abstractNumId w:val="0"/>
  </w:num>
  <w:num w:numId="14">
    <w:abstractNumId w:val="16"/>
  </w:num>
  <w:num w:numId="15">
    <w:abstractNumId w:val="6"/>
  </w:num>
  <w:num w:numId="16">
    <w:abstractNumId w:val="8"/>
  </w:num>
  <w:num w:numId="17">
    <w:abstractNumId w:val="2"/>
  </w:num>
  <w:num w:numId="18">
    <w:abstractNumId w:val="11"/>
  </w:num>
  <w:num w:numId="19">
    <w:abstractNumId w:val="22"/>
  </w:num>
  <w:num w:numId="20">
    <w:abstractNumId w:val="17"/>
  </w:num>
  <w:num w:numId="21">
    <w:abstractNumId w:val="21"/>
  </w:num>
  <w:num w:numId="22">
    <w:abstractNumId w:val="4"/>
  </w:num>
  <w:num w:numId="23">
    <w:abstractNumId w:val="7"/>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C1"/>
    <w:rsid w:val="00006AF5"/>
    <w:rsid w:val="00020947"/>
    <w:rsid w:val="000213BA"/>
    <w:rsid w:val="000227DE"/>
    <w:rsid w:val="0003247D"/>
    <w:rsid w:val="000325F7"/>
    <w:rsid w:val="00042469"/>
    <w:rsid w:val="00046C0A"/>
    <w:rsid w:val="00052412"/>
    <w:rsid w:val="00055248"/>
    <w:rsid w:val="00056A74"/>
    <w:rsid w:val="00056BFD"/>
    <w:rsid w:val="000635D4"/>
    <w:rsid w:val="00065D93"/>
    <w:rsid w:val="000660D7"/>
    <w:rsid w:val="00070357"/>
    <w:rsid w:val="00081359"/>
    <w:rsid w:val="000923C3"/>
    <w:rsid w:val="00096192"/>
    <w:rsid w:val="00096F93"/>
    <w:rsid w:val="000A209C"/>
    <w:rsid w:val="000B4185"/>
    <w:rsid w:val="000C017F"/>
    <w:rsid w:val="000C06B4"/>
    <w:rsid w:val="000D0A61"/>
    <w:rsid w:val="000D2CE8"/>
    <w:rsid w:val="000D66B6"/>
    <w:rsid w:val="000E5EFB"/>
    <w:rsid w:val="000F56AF"/>
    <w:rsid w:val="0010076D"/>
    <w:rsid w:val="00102F2C"/>
    <w:rsid w:val="00106056"/>
    <w:rsid w:val="00106DCA"/>
    <w:rsid w:val="001123D3"/>
    <w:rsid w:val="00117B73"/>
    <w:rsid w:val="001334B5"/>
    <w:rsid w:val="00134B1B"/>
    <w:rsid w:val="00135144"/>
    <w:rsid w:val="00143595"/>
    <w:rsid w:val="00146913"/>
    <w:rsid w:val="00152875"/>
    <w:rsid w:val="00157419"/>
    <w:rsid w:val="00166A34"/>
    <w:rsid w:val="00176DAA"/>
    <w:rsid w:val="00180C15"/>
    <w:rsid w:val="001830BD"/>
    <w:rsid w:val="0019272F"/>
    <w:rsid w:val="00193882"/>
    <w:rsid w:val="00194C62"/>
    <w:rsid w:val="001953A4"/>
    <w:rsid w:val="00195C6C"/>
    <w:rsid w:val="001A0DD8"/>
    <w:rsid w:val="001A5EFF"/>
    <w:rsid w:val="001A772F"/>
    <w:rsid w:val="001C1179"/>
    <w:rsid w:val="001C216C"/>
    <w:rsid w:val="001C2E77"/>
    <w:rsid w:val="001C3417"/>
    <w:rsid w:val="001C4F31"/>
    <w:rsid w:val="001D4C26"/>
    <w:rsid w:val="001E0028"/>
    <w:rsid w:val="001E24FE"/>
    <w:rsid w:val="001E53F8"/>
    <w:rsid w:val="001F1633"/>
    <w:rsid w:val="001F1B69"/>
    <w:rsid w:val="001F2075"/>
    <w:rsid w:val="00211BAB"/>
    <w:rsid w:val="00216519"/>
    <w:rsid w:val="002172DA"/>
    <w:rsid w:val="00243DEC"/>
    <w:rsid w:val="002564B4"/>
    <w:rsid w:val="00257A93"/>
    <w:rsid w:val="00270FE4"/>
    <w:rsid w:val="002716CD"/>
    <w:rsid w:val="002815CE"/>
    <w:rsid w:val="00285677"/>
    <w:rsid w:val="00291C71"/>
    <w:rsid w:val="00293031"/>
    <w:rsid w:val="002A1DA4"/>
    <w:rsid w:val="002A3387"/>
    <w:rsid w:val="002A4E36"/>
    <w:rsid w:val="002A5F5F"/>
    <w:rsid w:val="002B0AE3"/>
    <w:rsid w:val="002B2C33"/>
    <w:rsid w:val="002B560B"/>
    <w:rsid w:val="002C0208"/>
    <w:rsid w:val="002C0A66"/>
    <w:rsid w:val="002C353A"/>
    <w:rsid w:val="002C3CA8"/>
    <w:rsid w:val="002C6369"/>
    <w:rsid w:val="002D070A"/>
    <w:rsid w:val="002E366A"/>
    <w:rsid w:val="002F18A1"/>
    <w:rsid w:val="002F648C"/>
    <w:rsid w:val="0030292E"/>
    <w:rsid w:val="003037A0"/>
    <w:rsid w:val="00315B22"/>
    <w:rsid w:val="00320F89"/>
    <w:rsid w:val="00325128"/>
    <w:rsid w:val="00326F75"/>
    <w:rsid w:val="00331FFE"/>
    <w:rsid w:val="0033218D"/>
    <w:rsid w:val="003368A6"/>
    <w:rsid w:val="00340386"/>
    <w:rsid w:val="0034071E"/>
    <w:rsid w:val="0034296C"/>
    <w:rsid w:val="00345048"/>
    <w:rsid w:val="00365CD9"/>
    <w:rsid w:val="00365DB2"/>
    <w:rsid w:val="003667F1"/>
    <w:rsid w:val="003676F1"/>
    <w:rsid w:val="00373E04"/>
    <w:rsid w:val="003768B0"/>
    <w:rsid w:val="0038127D"/>
    <w:rsid w:val="00384C1B"/>
    <w:rsid w:val="003A051C"/>
    <w:rsid w:val="003A0EAF"/>
    <w:rsid w:val="003C5CD3"/>
    <w:rsid w:val="003C77A0"/>
    <w:rsid w:val="003C7C85"/>
    <w:rsid w:val="003D364B"/>
    <w:rsid w:val="003D523C"/>
    <w:rsid w:val="003E014B"/>
    <w:rsid w:val="003E5984"/>
    <w:rsid w:val="003E6136"/>
    <w:rsid w:val="003E739A"/>
    <w:rsid w:val="003F3F5B"/>
    <w:rsid w:val="003F66AF"/>
    <w:rsid w:val="003F7223"/>
    <w:rsid w:val="00403CE8"/>
    <w:rsid w:val="00411300"/>
    <w:rsid w:val="00414AF4"/>
    <w:rsid w:val="00421A81"/>
    <w:rsid w:val="00424B46"/>
    <w:rsid w:val="004260D3"/>
    <w:rsid w:val="004268C0"/>
    <w:rsid w:val="004341D1"/>
    <w:rsid w:val="0043743F"/>
    <w:rsid w:val="00441208"/>
    <w:rsid w:val="004450D4"/>
    <w:rsid w:val="00450583"/>
    <w:rsid w:val="0045178F"/>
    <w:rsid w:val="00451C47"/>
    <w:rsid w:val="004541A0"/>
    <w:rsid w:val="00455A0D"/>
    <w:rsid w:val="00457D67"/>
    <w:rsid w:val="00460BB4"/>
    <w:rsid w:val="004623D1"/>
    <w:rsid w:val="004638B8"/>
    <w:rsid w:val="004677CF"/>
    <w:rsid w:val="004707CD"/>
    <w:rsid w:val="0047400F"/>
    <w:rsid w:val="0047454F"/>
    <w:rsid w:val="004768AE"/>
    <w:rsid w:val="00480385"/>
    <w:rsid w:val="004857AF"/>
    <w:rsid w:val="00485EC8"/>
    <w:rsid w:val="004900CE"/>
    <w:rsid w:val="00490191"/>
    <w:rsid w:val="004928FB"/>
    <w:rsid w:val="00493910"/>
    <w:rsid w:val="00494248"/>
    <w:rsid w:val="00494397"/>
    <w:rsid w:val="004961D9"/>
    <w:rsid w:val="004A366E"/>
    <w:rsid w:val="004A5263"/>
    <w:rsid w:val="004A7AFF"/>
    <w:rsid w:val="004B2099"/>
    <w:rsid w:val="004B4A31"/>
    <w:rsid w:val="004C039B"/>
    <w:rsid w:val="004C456A"/>
    <w:rsid w:val="004C78A0"/>
    <w:rsid w:val="004D208D"/>
    <w:rsid w:val="004D705F"/>
    <w:rsid w:val="004D7A0D"/>
    <w:rsid w:val="004E19B0"/>
    <w:rsid w:val="004E3CA4"/>
    <w:rsid w:val="004F0309"/>
    <w:rsid w:val="004F0C3B"/>
    <w:rsid w:val="004F53C3"/>
    <w:rsid w:val="004F5EC2"/>
    <w:rsid w:val="004F74B3"/>
    <w:rsid w:val="00501EC1"/>
    <w:rsid w:val="00504622"/>
    <w:rsid w:val="00505B06"/>
    <w:rsid w:val="00506830"/>
    <w:rsid w:val="00511AC1"/>
    <w:rsid w:val="005138C9"/>
    <w:rsid w:val="00515BC5"/>
    <w:rsid w:val="00522356"/>
    <w:rsid w:val="00524443"/>
    <w:rsid w:val="005263BD"/>
    <w:rsid w:val="00530290"/>
    <w:rsid w:val="00531230"/>
    <w:rsid w:val="00531C87"/>
    <w:rsid w:val="00533944"/>
    <w:rsid w:val="00537647"/>
    <w:rsid w:val="00537C8A"/>
    <w:rsid w:val="00540954"/>
    <w:rsid w:val="0054475D"/>
    <w:rsid w:val="005472E7"/>
    <w:rsid w:val="00547F32"/>
    <w:rsid w:val="00550B46"/>
    <w:rsid w:val="00573584"/>
    <w:rsid w:val="00583C11"/>
    <w:rsid w:val="005844FE"/>
    <w:rsid w:val="00597AF6"/>
    <w:rsid w:val="005A09E2"/>
    <w:rsid w:val="005A1CA9"/>
    <w:rsid w:val="005A4509"/>
    <w:rsid w:val="005B03B9"/>
    <w:rsid w:val="005B0A9C"/>
    <w:rsid w:val="005C25F1"/>
    <w:rsid w:val="005C3CEA"/>
    <w:rsid w:val="005C63C3"/>
    <w:rsid w:val="005C7083"/>
    <w:rsid w:val="005D32C7"/>
    <w:rsid w:val="005D37B2"/>
    <w:rsid w:val="005E0ECB"/>
    <w:rsid w:val="00603B6F"/>
    <w:rsid w:val="006050E3"/>
    <w:rsid w:val="0060769D"/>
    <w:rsid w:val="00625AD3"/>
    <w:rsid w:val="00627821"/>
    <w:rsid w:val="00627B67"/>
    <w:rsid w:val="00627F72"/>
    <w:rsid w:val="006309C4"/>
    <w:rsid w:val="00636709"/>
    <w:rsid w:val="00643FCC"/>
    <w:rsid w:val="006448A0"/>
    <w:rsid w:val="0064627A"/>
    <w:rsid w:val="0065163F"/>
    <w:rsid w:val="00651A51"/>
    <w:rsid w:val="0065367D"/>
    <w:rsid w:val="00656AE9"/>
    <w:rsid w:val="00660A31"/>
    <w:rsid w:val="00661630"/>
    <w:rsid w:val="00664DF0"/>
    <w:rsid w:val="00665709"/>
    <w:rsid w:val="00671131"/>
    <w:rsid w:val="00671CF9"/>
    <w:rsid w:val="006761E2"/>
    <w:rsid w:val="0068070B"/>
    <w:rsid w:val="0068169A"/>
    <w:rsid w:val="00687226"/>
    <w:rsid w:val="0068781B"/>
    <w:rsid w:val="00691D58"/>
    <w:rsid w:val="00695E7E"/>
    <w:rsid w:val="00697FE1"/>
    <w:rsid w:val="006A036A"/>
    <w:rsid w:val="006A0D85"/>
    <w:rsid w:val="006A1749"/>
    <w:rsid w:val="006A214C"/>
    <w:rsid w:val="006A2A1D"/>
    <w:rsid w:val="006A3A66"/>
    <w:rsid w:val="006A50C2"/>
    <w:rsid w:val="006B0DB0"/>
    <w:rsid w:val="006B14B9"/>
    <w:rsid w:val="006B1D90"/>
    <w:rsid w:val="006B28F8"/>
    <w:rsid w:val="006B3D3B"/>
    <w:rsid w:val="006B6706"/>
    <w:rsid w:val="006C2859"/>
    <w:rsid w:val="006C74C4"/>
    <w:rsid w:val="006D0945"/>
    <w:rsid w:val="006D2BF9"/>
    <w:rsid w:val="006D5E3D"/>
    <w:rsid w:val="006E3447"/>
    <w:rsid w:val="006E406C"/>
    <w:rsid w:val="006F2D4D"/>
    <w:rsid w:val="006F3D9D"/>
    <w:rsid w:val="006F4614"/>
    <w:rsid w:val="006F72E4"/>
    <w:rsid w:val="006F7D6A"/>
    <w:rsid w:val="00701BD9"/>
    <w:rsid w:val="00701CA0"/>
    <w:rsid w:val="007114D6"/>
    <w:rsid w:val="00723770"/>
    <w:rsid w:val="00735094"/>
    <w:rsid w:val="007353B0"/>
    <w:rsid w:val="0073785A"/>
    <w:rsid w:val="00741F04"/>
    <w:rsid w:val="007555FF"/>
    <w:rsid w:val="007556D7"/>
    <w:rsid w:val="00761604"/>
    <w:rsid w:val="00775B98"/>
    <w:rsid w:val="0077658C"/>
    <w:rsid w:val="00777809"/>
    <w:rsid w:val="007872A6"/>
    <w:rsid w:val="0079011A"/>
    <w:rsid w:val="007945C4"/>
    <w:rsid w:val="00795846"/>
    <w:rsid w:val="00795E62"/>
    <w:rsid w:val="00795EDF"/>
    <w:rsid w:val="007965DE"/>
    <w:rsid w:val="007A55E4"/>
    <w:rsid w:val="007B10A0"/>
    <w:rsid w:val="007B35D4"/>
    <w:rsid w:val="007B3C6E"/>
    <w:rsid w:val="007B4EBA"/>
    <w:rsid w:val="007B6439"/>
    <w:rsid w:val="007B655A"/>
    <w:rsid w:val="007C0761"/>
    <w:rsid w:val="007D668C"/>
    <w:rsid w:val="007D76E9"/>
    <w:rsid w:val="007E7C04"/>
    <w:rsid w:val="007F3667"/>
    <w:rsid w:val="007F5E9D"/>
    <w:rsid w:val="007F6553"/>
    <w:rsid w:val="00800A10"/>
    <w:rsid w:val="008047B2"/>
    <w:rsid w:val="00804D90"/>
    <w:rsid w:val="00810D4F"/>
    <w:rsid w:val="008123BD"/>
    <w:rsid w:val="00813E86"/>
    <w:rsid w:val="00815CE4"/>
    <w:rsid w:val="008205F6"/>
    <w:rsid w:val="0082737B"/>
    <w:rsid w:val="008323E3"/>
    <w:rsid w:val="00837D02"/>
    <w:rsid w:val="0084575F"/>
    <w:rsid w:val="008552B8"/>
    <w:rsid w:val="00860761"/>
    <w:rsid w:val="008617F0"/>
    <w:rsid w:val="00862412"/>
    <w:rsid w:val="00863695"/>
    <w:rsid w:val="008646FC"/>
    <w:rsid w:val="00881D79"/>
    <w:rsid w:val="008836C3"/>
    <w:rsid w:val="00885BEC"/>
    <w:rsid w:val="008866ED"/>
    <w:rsid w:val="00893CBB"/>
    <w:rsid w:val="00894B3B"/>
    <w:rsid w:val="00895657"/>
    <w:rsid w:val="008977AA"/>
    <w:rsid w:val="008A1856"/>
    <w:rsid w:val="008B0689"/>
    <w:rsid w:val="008B0C6B"/>
    <w:rsid w:val="008B0E3D"/>
    <w:rsid w:val="008B737B"/>
    <w:rsid w:val="008C05EC"/>
    <w:rsid w:val="008C3B31"/>
    <w:rsid w:val="008C6A89"/>
    <w:rsid w:val="008D7251"/>
    <w:rsid w:val="008E001E"/>
    <w:rsid w:val="008E4EFE"/>
    <w:rsid w:val="008E5E8F"/>
    <w:rsid w:val="008F1B4D"/>
    <w:rsid w:val="009043E8"/>
    <w:rsid w:val="00913D5C"/>
    <w:rsid w:val="00915F5B"/>
    <w:rsid w:val="009202EE"/>
    <w:rsid w:val="00924AF3"/>
    <w:rsid w:val="009334A9"/>
    <w:rsid w:val="00933D90"/>
    <w:rsid w:val="009345AB"/>
    <w:rsid w:val="0094164B"/>
    <w:rsid w:val="00941D7F"/>
    <w:rsid w:val="00944223"/>
    <w:rsid w:val="009442D9"/>
    <w:rsid w:val="00944B95"/>
    <w:rsid w:val="00945BAC"/>
    <w:rsid w:val="009464B6"/>
    <w:rsid w:val="009468EF"/>
    <w:rsid w:val="00950D5A"/>
    <w:rsid w:val="00961FE1"/>
    <w:rsid w:val="00962975"/>
    <w:rsid w:val="00964010"/>
    <w:rsid w:val="00966958"/>
    <w:rsid w:val="0097112D"/>
    <w:rsid w:val="00971C0B"/>
    <w:rsid w:val="009A1F19"/>
    <w:rsid w:val="009A30A3"/>
    <w:rsid w:val="009A344B"/>
    <w:rsid w:val="009B010C"/>
    <w:rsid w:val="009B2E4A"/>
    <w:rsid w:val="009B2E9E"/>
    <w:rsid w:val="009B4F6B"/>
    <w:rsid w:val="009C08A6"/>
    <w:rsid w:val="009C1A50"/>
    <w:rsid w:val="009C2CE8"/>
    <w:rsid w:val="009C44B5"/>
    <w:rsid w:val="009C5D7B"/>
    <w:rsid w:val="009C5F33"/>
    <w:rsid w:val="009C7BC5"/>
    <w:rsid w:val="009D1C25"/>
    <w:rsid w:val="009D5E96"/>
    <w:rsid w:val="009D7A5E"/>
    <w:rsid w:val="009E0E52"/>
    <w:rsid w:val="009E5C1F"/>
    <w:rsid w:val="009E6856"/>
    <w:rsid w:val="009F67C1"/>
    <w:rsid w:val="00A02E4B"/>
    <w:rsid w:val="00A03C1B"/>
    <w:rsid w:val="00A12D86"/>
    <w:rsid w:val="00A155B9"/>
    <w:rsid w:val="00A21026"/>
    <w:rsid w:val="00A22888"/>
    <w:rsid w:val="00A22932"/>
    <w:rsid w:val="00A26A8F"/>
    <w:rsid w:val="00A33434"/>
    <w:rsid w:val="00A358DA"/>
    <w:rsid w:val="00A42CF7"/>
    <w:rsid w:val="00A4575C"/>
    <w:rsid w:val="00A50031"/>
    <w:rsid w:val="00A54FD9"/>
    <w:rsid w:val="00A55E41"/>
    <w:rsid w:val="00A64B46"/>
    <w:rsid w:val="00A652F0"/>
    <w:rsid w:val="00A6555F"/>
    <w:rsid w:val="00A67428"/>
    <w:rsid w:val="00A728D1"/>
    <w:rsid w:val="00A779AB"/>
    <w:rsid w:val="00A80D50"/>
    <w:rsid w:val="00A81375"/>
    <w:rsid w:val="00A84B7B"/>
    <w:rsid w:val="00A859BD"/>
    <w:rsid w:val="00A86A55"/>
    <w:rsid w:val="00A86B5E"/>
    <w:rsid w:val="00A96F8A"/>
    <w:rsid w:val="00AA06BC"/>
    <w:rsid w:val="00AA5C75"/>
    <w:rsid w:val="00AB2D63"/>
    <w:rsid w:val="00AB798B"/>
    <w:rsid w:val="00AC5A61"/>
    <w:rsid w:val="00AC6BF2"/>
    <w:rsid w:val="00AC6CD4"/>
    <w:rsid w:val="00AD1ACD"/>
    <w:rsid w:val="00AD21DF"/>
    <w:rsid w:val="00AD3169"/>
    <w:rsid w:val="00AE0BE4"/>
    <w:rsid w:val="00AF6CD6"/>
    <w:rsid w:val="00AF700F"/>
    <w:rsid w:val="00B04753"/>
    <w:rsid w:val="00B057C7"/>
    <w:rsid w:val="00B118FE"/>
    <w:rsid w:val="00B12780"/>
    <w:rsid w:val="00B15363"/>
    <w:rsid w:val="00B22CCC"/>
    <w:rsid w:val="00B235FA"/>
    <w:rsid w:val="00B258A1"/>
    <w:rsid w:val="00B258D2"/>
    <w:rsid w:val="00B30B78"/>
    <w:rsid w:val="00B362F7"/>
    <w:rsid w:val="00B41F34"/>
    <w:rsid w:val="00B4287F"/>
    <w:rsid w:val="00B442F9"/>
    <w:rsid w:val="00B45CE9"/>
    <w:rsid w:val="00B52E48"/>
    <w:rsid w:val="00B56934"/>
    <w:rsid w:val="00B6170F"/>
    <w:rsid w:val="00B61E98"/>
    <w:rsid w:val="00B625B5"/>
    <w:rsid w:val="00B65750"/>
    <w:rsid w:val="00B662BC"/>
    <w:rsid w:val="00B83A13"/>
    <w:rsid w:val="00BA5C70"/>
    <w:rsid w:val="00BB7262"/>
    <w:rsid w:val="00BC5DD8"/>
    <w:rsid w:val="00BD55D4"/>
    <w:rsid w:val="00BD73D6"/>
    <w:rsid w:val="00BE1DE1"/>
    <w:rsid w:val="00BE26F8"/>
    <w:rsid w:val="00BE3D82"/>
    <w:rsid w:val="00BE6297"/>
    <w:rsid w:val="00BE67C4"/>
    <w:rsid w:val="00BE792F"/>
    <w:rsid w:val="00BF340A"/>
    <w:rsid w:val="00BF6415"/>
    <w:rsid w:val="00C01192"/>
    <w:rsid w:val="00C11BED"/>
    <w:rsid w:val="00C11F7B"/>
    <w:rsid w:val="00C22ACB"/>
    <w:rsid w:val="00C23148"/>
    <w:rsid w:val="00C2325C"/>
    <w:rsid w:val="00C3220D"/>
    <w:rsid w:val="00C3645C"/>
    <w:rsid w:val="00C4387E"/>
    <w:rsid w:val="00C5283B"/>
    <w:rsid w:val="00C535B5"/>
    <w:rsid w:val="00C55542"/>
    <w:rsid w:val="00C72235"/>
    <w:rsid w:val="00C74195"/>
    <w:rsid w:val="00C762CB"/>
    <w:rsid w:val="00C77A10"/>
    <w:rsid w:val="00C816D6"/>
    <w:rsid w:val="00C91A8B"/>
    <w:rsid w:val="00C923B6"/>
    <w:rsid w:val="00C93BAB"/>
    <w:rsid w:val="00CA4CCD"/>
    <w:rsid w:val="00CA5894"/>
    <w:rsid w:val="00CB1CAF"/>
    <w:rsid w:val="00CB6A08"/>
    <w:rsid w:val="00CB7935"/>
    <w:rsid w:val="00CC265B"/>
    <w:rsid w:val="00CC4B7F"/>
    <w:rsid w:val="00CC5908"/>
    <w:rsid w:val="00CD1687"/>
    <w:rsid w:val="00CD5D67"/>
    <w:rsid w:val="00CD7A9F"/>
    <w:rsid w:val="00CE619B"/>
    <w:rsid w:val="00D00303"/>
    <w:rsid w:val="00D03CC3"/>
    <w:rsid w:val="00D1098E"/>
    <w:rsid w:val="00D10C7D"/>
    <w:rsid w:val="00D14776"/>
    <w:rsid w:val="00D16872"/>
    <w:rsid w:val="00D24500"/>
    <w:rsid w:val="00D24ED4"/>
    <w:rsid w:val="00D27043"/>
    <w:rsid w:val="00D35451"/>
    <w:rsid w:val="00D40C92"/>
    <w:rsid w:val="00D43FC6"/>
    <w:rsid w:val="00D4558C"/>
    <w:rsid w:val="00D4647E"/>
    <w:rsid w:val="00D5032E"/>
    <w:rsid w:val="00D51AED"/>
    <w:rsid w:val="00D56FC5"/>
    <w:rsid w:val="00D65C29"/>
    <w:rsid w:val="00D66028"/>
    <w:rsid w:val="00D72838"/>
    <w:rsid w:val="00D7349E"/>
    <w:rsid w:val="00D7622D"/>
    <w:rsid w:val="00D817C2"/>
    <w:rsid w:val="00D878B1"/>
    <w:rsid w:val="00D92637"/>
    <w:rsid w:val="00D94134"/>
    <w:rsid w:val="00DA1B7B"/>
    <w:rsid w:val="00DA1E5A"/>
    <w:rsid w:val="00DA2660"/>
    <w:rsid w:val="00DA4FC5"/>
    <w:rsid w:val="00DA6251"/>
    <w:rsid w:val="00DB2091"/>
    <w:rsid w:val="00DB7E93"/>
    <w:rsid w:val="00DC2F25"/>
    <w:rsid w:val="00DC68B6"/>
    <w:rsid w:val="00DC7C72"/>
    <w:rsid w:val="00DD4A46"/>
    <w:rsid w:val="00DD4ABD"/>
    <w:rsid w:val="00DD5C79"/>
    <w:rsid w:val="00DE6067"/>
    <w:rsid w:val="00DF0E0A"/>
    <w:rsid w:val="00DF1D35"/>
    <w:rsid w:val="00DF6000"/>
    <w:rsid w:val="00E02F92"/>
    <w:rsid w:val="00E10C7A"/>
    <w:rsid w:val="00E14310"/>
    <w:rsid w:val="00E14B90"/>
    <w:rsid w:val="00E234F9"/>
    <w:rsid w:val="00E23B24"/>
    <w:rsid w:val="00E26D0E"/>
    <w:rsid w:val="00E32C46"/>
    <w:rsid w:val="00E371C1"/>
    <w:rsid w:val="00E556BB"/>
    <w:rsid w:val="00E6190A"/>
    <w:rsid w:val="00E61B28"/>
    <w:rsid w:val="00E61BEB"/>
    <w:rsid w:val="00E629B4"/>
    <w:rsid w:val="00E659F1"/>
    <w:rsid w:val="00E67034"/>
    <w:rsid w:val="00E72055"/>
    <w:rsid w:val="00E730F4"/>
    <w:rsid w:val="00E83F89"/>
    <w:rsid w:val="00E8725A"/>
    <w:rsid w:val="00E90E62"/>
    <w:rsid w:val="00E91C51"/>
    <w:rsid w:val="00E95D4D"/>
    <w:rsid w:val="00EA3086"/>
    <w:rsid w:val="00EA6042"/>
    <w:rsid w:val="00EA6CDF"/>
    <w:rsid w:val="00EB04BA"/>
    <w:rsid w:val="00EB117B"/>
    <w:rsid w:val="00EB1B65"/>
    <w:rsid w:val="00EB4BC1"/>
    <w:rsid w:val="00EB51A2"/>
    <w:rsid w:val="00EC318D"/>
    <w:rsid w:val="00EC3733"/>
    <w:rsid w:val="00EC43B9"/>
    <w:rsid w:val="00EC6D6A"/>
    <w:rsid w:val="00EE6FFA"/>
    <w:rsid w:val="00EF0FD9"/>
    <w:rsid w:val="00EF1300"/>
    <w:rsid w:val="00EF21BE"/>
    <w:rsid w:val="00EF3D48"/>
    <w:rsid w:val="00EF68B8"/>
    <w:rsid w:val="00EF7BC8"/>
    <w:rsid w:val="00F0674F"/>
    <w:rsid w:val="00F07D0C"/>
    <w:rsid w:val="00F10348"/>
    <w:rsid w:val="00F11A3F"/>
    <w:rsid w:val="00F348D1"/>
    <w:rsid w:val="00F3600F"/>
    <w:rsid w:val="00F36D33"/>
    <w:rsid w:val="00F37BAC"/>
    <w:rsid w:val="00F41DEA"/>
    <w:rsid w:val="00F42345"/>
    <w:rsid w:val="00F4595F"/>
    <w:rsid w:val="00F539AD"/>
    <w:rsid w:val="00F53DB4"/>
    <w:rsid w:val="00F625CF"/>
    <w:rsid w:val="00F675DD"/>
    <w:rsid w:val="00F72E67"/>
    <w:rsid w:val="00F75A12"/>
    <w:rsid w:val="00F85E25"/>
    <w:rsid w:val="00FA50E5"/>
    <w:rsid w:val="00FA5580"/>
    <w:rsid w:val="00FB6C82"/>
    <w:rsid w:val="00FC051D"/>
    <w:rsid w:val="00FC42E7"/>
    <w:rsid w:val="00FC59AE"/>
    <w:rsid w:val="00FD3B38"/>
    <w:rsid w:val="00FD5038"/>
    <w:rsid w:val="00FD785C"/>
    <w:rsid w:val="00FE0263"/>
    <w:rsid w:val="00FE3616"/>
    <w:rsid w:val="00FE381F"/>
    <w:rsid w:val="00FE3F18"/>
    <w:rsid w:val="00FF025A"/>
    <w:rsid w:val="00FF09A2"/>
    <w:rsid w:val="00FF2BF5"/>
    <w:rsid w:val="00FF4BB7"/>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1F"/>
  </w:style>
  <w:style w:type="paragraph" w:styleId="1">
    <w:name w:val="heading 1"/>
    <w:basedOn w:val="a"/>
    <w:next w:val="a"/>
    <w:link w:val="10"/>
    <w:uiPriority w:val="9"/>
    <w:qFormat/>
    <w:rsid w:val="009F67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7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94B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A8F"/>
    <w:pPr>
      <w:ind w:left="720"/>
      <w:contextualSpacing/>
    </w:pPr>
  </w:style>
  <w:style w:type="character" w:styleId="a4">
    <w:name w:val="annotation reference"/>
    <w:basedOn w:val="a0"/>
    <w:uiPriority w:val="99"/>
    <w:semiHidden/>
    <w:unhideWhenUsed/>
    <w:rsid w:val="00A26A8F"/>
    <w:rPr>
      <w:sz w:val="16"/>
      <w:szCs w:val="16"/>
    </w:rPr>
  </w:style>
  <w:style w:type="paragraph" w:styleId="a5">
    <w:name w:val="annotation text"/>
    <w:basedOn w:val="a"/>
    <w:link w:val="a6"/>
    <w:uiPriority w:val="99"/>
    <w:semiHidden/>
    <w:unhideWhenUsed/>
    <w:rsid w:val="00A26A8F"/>
    <w:pPr>
      <w:spacing w:line="240" w:lineRule="auto"/>
    </w:pPr>
    <w:rPr>
      <w:sz w:val="20"/>
      <w:szCs w:val="20"/>
    </w:rPr>
  </w:style>
  <w:style w:type="character" w:customStyle="1" w:styleId="a6">
    <w:name w:val="Текст примечания Знак"/>
    <w:basedOn w:val="a0"/>
    <w:link w:val="a5"/>
    <w:uiPriority w:val="99"/>
    <w:semiHidden/>
    <w:rsid w:val="00A26A8F"/>
    <w:rPr>
      <w:sz w:val="20"/>
      <w:szCs w:val="20"/>
    </w:rPr>
  </w:style>
  <w:style w:type="paragraph" w:styleId="a7">
    <w:name w:val="annotation subject"/>
    <w:basedOn w:val="a5"/>
    <w:next w:val="a5"/>
    <w:link w:val="a8"/>
    <w:uiPriority w:val="99"/>
    <w:semiHidden/>
    <w:unhideWhenUsed/>
    <w:rsid w:val="00A26A8F"/>
    <w:rPr>
      <w:b/>
      <w:bCs/>
    </w:rPr>
  </w:style>
  <w:style w:type="character" w:customStyle="1" w:styleId="a8">
    <w:name w:val="Тема примечания Знак"/>
    <w:basedOn w:val="a6"/>
    <w:link w:val="a7"/>
    <w:uiPriority w:val="99"/>
    <w:semiHidden/>
    <w:rsid w:val="00A26A8F"/>
    <w:rPr>
      <w:b/>
      <w:bCs/>
      <w:sz w:val="20"/>
      <w:szCs w:val="20"/>
    </w:rPr>
  </w:style>
  <w:style w:type="paragraph" w:styleId="a9">
    <w:name w:val="Balloon Text"/>
    <w:basedOn w:val="a"/>
    <w:link w:val="aa"/>
    <w:uiPriority w:val="99"/>
    <w:semiHidden/>
    <w:unhideWhenUsed/>
    <w:rsid w:val="00A26A8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26A8F"/>
    <w:rPr>
      <w:rFonts w:ascii="Segoe UI" w:hAnsi="Segoe UI" w:cs="Segoe UI"/>
      <w:sz w:val="18"/>
      <w:szCs w:val="18"/>
    </w:rPr>
  </w:style>
  <w:style w:type="paragraph" w:styleId="ab">
    <w:name w:val="header"/>
    <w:basedOn w:val="a"/>
    <w:link w:val="ac"/>
    <w:uiPriority w:val="99"/>
    <w:unhideWhenUsed/>
    <w:rsid w:val="0096401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64010"/>
  </w:style>
  <w:style w:type="paragraph" w:styleId="ad">
    <w:name w:val="footer"/>
    <w:basedOn w:val="a"/>
    <w:link w:val="ae"/>
    <w:uiPriority w:val="99"/>
    <w:unhideWhenUsed/>
    <w:rsid w:val="0096401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64010"/>
  </w:style>
  <w:style w:type="paragraph" w:customStyle="1" w:styleId="ConsPlusNormal">
    <w:name w:val="ConsPlusNormal"/>
    <w:rsid w:val="00627F72"/>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9F67C1"/>
    <w:rPr>
      <w:rFonts w:asciiTheme="majorHAnsi" w:eastAsiaTheme="majorEastAsia" w:hAnsiTheme="majorHAnsi" w:cstheme="majorBidi"/>
      <w:color w:val="2E74B5" w:themeColor="accent1" w:themeShade="BF"/>
      <w:sz w:val="32"/>
      <w:szCs w:val="32"/>
    </w:rPr>
  </w:style>
  <w:style w:type="paragraph" w:styleId="af">
    <w:name w:val="Subtitle"/>
    <w:basedOn w:val="a"/>
    <w:next w:val="a"/>
    <w:link w:val="af0"/>
    <w:uiPriority w:val="11"/>
    <w:qFormat/>
    <w:rsid w:val="009F67C1"/>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9F67C1"/>
    <w:rPr>
      <w:rFonts w:eastAsiaTheme="minorEastAsia"/>
      <w:color w:val="5A5A5A" w:themeColor="text1" w:themeTint="A5"/>
      <w:spacing w:val="15"/>
    </w:rPr>
  </w:style>
  <w:style w:type="paragraph" w:styleId="af1">
    <w:name w:val="TOC Heading"/>
    <w:basedOn w:val="1"/>
    <w:next w:val="a"/>
    <w:uiPriority w:val="39"/>
    <w:unhideWhenUsed/>
    <w:qFormat/>
    <w:rsid w:val="0068781B"/>
    <w:pPr>
      <w:outlineLvl w:val="9"/>
    </w:pPr>
    <w:rPr>
      <w:lang w:eastAsia="ru-RU"/>
    </w:rPr>
  </w:style>
  <w:style w:type="paragraph" w:styleId="11">
    <w:name w:val="toc 1"/>
    <w:basedOn w:val="a"/>
    <w:next w:val="a"/>
    <w:autoRedefine/>
    <w:uiPriority w:val="39"/>
    <w:unhideWhenUsed/>
    <w:rsid w:val="00B235FA"/>
    <w:pPr>
      <w:spacing w:before="120" w:after="120"/>
    </w:pPr>
    <w:rPr>
      <w:b/>
      <w:bCs/>
      <w:caps/>
      <w:sz w:val="20"/>
      <w:szCs w:val="20"/>
    </w:rPr>
  </w:style>
  <w:style w:type="character" w:styleId="af2">
    <w:name w:val="Hyperlink"/>
    <w:basedOn w:val="a0"/>
    <w:uiPriority w:val="99"/>
    <w:unhideWhenUsed/>
    <w:rsid w:val="0068781B"/>
    <w:rPr>
      <w:color w:val="0563C1" w:themeColor="hyperlink"/>
      <w:u w:val="single"/>
    </w:rPr>
  </w:style>
  <w:style w:type="character" w:customStyle="1" w:styleId="20">
    <w:name w:val="Заголовок 2 Знак"/>
    <w:basedOn w:val="a0"/>
    <w:link w:val="2"/>
    <w:uiPriority w:val="9"/>
    <w:rsid w:val="0068781B"/>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68781B"/>
    <w:pPr>
      <w:spacing w:after="0"/>
      <w:ind w:left="220"/>
    </w:pPr>
    <w:rPr>
      <w:smallCaps/>
      <w:sz w:val="20"/>
      <w:szCs w:val="20"/>
    </w:rPr>
  </w:style>
  <w:style w:type="character" w:customStyle="1" w:styleId="30">
    <w:name w:val="Заголовок 3 Знак"/>
    <w:basedOn w:val="a0"/>
    <w:link w:val="3"/>
    <w:uiPriority w:val="9"/>
    <w:rsid w:val="00894B3B"/>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B235FA"/>
    <w:pPr>
      <w:spacing w:after="0"/>
      <w:ind w:left="440"/>
    </w:pPr>
    <w:rPr>
      <w:i/>
      <w:iCs/>
      <w:sz w:val="20"/>
      <w:szCs w:val="20"/>
    </w:rPr>
  </w:style>
  <w:style w:type="paragraph" w:customStyle="1" w:styleId="12">
    <w:name w:val="Стиль1"/>
    <w:basedOn w:val="a"/>
    <w:link w:val="13"/>
    <w:qFormat/>
    <w:rsid w:val="00DE6067"/>
    <w:pPr>
      <w:widowControl w:val="0"/>
      <w:autoSpaceDE w:val="0"/>
      <w:autoSpaceDN w:val="0"/>
      <w:adjustRightInd w:val="0"/>
      <w:spacing w:after="0" w:line="240" w:lineRule="auto"/>
      <w:ind w:firstLine="709"/>
      <w:contextualSpacing/>
      <w:jc w:val="center"/>
    </w:pPr>
    <w:rPr>
      <w:rFonts w:ascii="Times New Roman" w:eastAsia="Times New Roman" w:hAnsi="Times New Roman" w:cs="Times New Roman"/>
      <w:b/>
      <w:sz w:val="28"/>
      <w:szCs w:val="28"/>
      <w:lang w:eastAsia="ru-RU"/>
    </w:rPr>
  </w:style>
  <w:style w:type="paragraph" w:styleId="af3">
    <w:name w:val="Revision"/>
    <w:hidden/>
    <w:uiPriority w:val="99"/>
    <w:semiHidden/>
    <w:rsid w:val="00F36D33"/>
    <w:pPr>
      <w:spacing w:after="0" w:line="240" w:lineRule="auto"/>
    </w:pPr>
  </w:style>
  <w:style w:type="character" w:customStyle="1" w:styleId="13">
    <w:name w:val="Стиль1 Знак"/>
    <w:basedOn w:val="a0"/>
    <w:link w:val="12"/>
    <w:rsid w:val="00DE6067"/>
    <w:rPr>
      <w:rFonts w:ascii="Times New Roman" w:eastAsia="Times New Roman" w:hAnsi="Times New Roman" w:cs="Times New Roman"/>
      <w:b/>
      <w:sz w:val="28"/>
      <w:szCs w:val="28"/>
      <w:lang w:eastAsia="ru-RU"/>
    </w:rPr>
  </w:style>
  <w:style w:type="paragraph" w:styleId="4">
    <w:name w:val="toc 4"/>
    <w:basedOn w:val="a"/>
    <w:next w:val="a"/>
    <w:autoRedefine/>
    <w:uiPriority w:val="39"/>
    <w:unhideWhenUsed/>
    <w:rsid w:val="00F85E25"/>
    <w:pPr>
      <w:spacing w:after="0"/>
      <w:ind w:left="660"/>
    </w:pPr>
    <w:rPr>
      <w:sz w:val="18"/>
      <w:szCs w:val="18"/>
    </w:rPr>
  </w:style>
  <w:style w:type="paragraph" w:styleId="5">
    <w:name w:val="toc 5"/>
    <w:basedOn w:val="a"/>
    <w:next w:val="a"/>
    <w:autoRedefine/>
    <w:uiPriority w:val="39"/>
    <w:unhideWhenUsed/>
    <w:rsid w:val="00F85E25"/>
    <w:pPr>
      <w:spacing w:after="0"/>
      <w:ind w:left="880"/>
    </w:pPr>
    <w:rPr>
      <w:sz w:val="18"/>
      <w:szCs w:val="18"/>
    </w:rPr>
  </w:style>
  <w:style w:type="paragraph" w:styleId="6">
    <w:name w:val="toc 6"/>
    <w:basedOn w:val="a"/>
    <w:next w:val="a"/>
    <w:autoRedefine/>
    <w:uiPriority w:val="39"/>
    <w:unhideWhenUsed/>
    <w:rsid w:val="00F85E25"/>
    <w:pPr>
      <w:spacing w:after="0"/>
      <w:ind w:left="1100"/>
    </w:pPr>
    <w:rPr>
      <w:sz w:val="18"/>
      <w:szCs w:val="18"/>
    </w:rPr>
  </w:style>
  <w:style w:type="paragraph" w:styleId="7">
    <w:name w:val="toc 7"/>
    <w:basedOn w:val="a"/>
    <w:next w:val="a"/>
    <w:autoRedefine/>
    <w:uiPriority w:val="39"/>
    <w:unhideWhenUsed/>
    <w:rsid w:val="00F85E25"/>
    <w:pPr>
      <w:spacing w:after="0"/>
      <w:ind w:left="1320"/>
    </w:pPr>
    <w:rPr>
      <w:sz w:val="18"/>
      <w:szCs w:val="18"/>
    </w:rPr>
  </w:style>
  <w:style w:type="paragraph" w:styleId="8">
    <w:name w:val="toc 8"/>
    <w:basedOn w:val="a"/>
    <w:next w:val="a"/>
    <w:autoRedefine/>
    <w:uiPriority w:val="39"/>
    <w:unhideWhenUsed/>
    <w:rsid w:val="00F85E25"/>
    <w:pPr>
      <w:spacing w:after="0"/>
      <w:ind w:left="1540"/>
    </w:pPr>
    <w:rPr>
      <w:sz w:val="18"/>
      <w:szCs w:val="18"/>
    </w:rPr>
  </w:style>
  <w:style w:type="paragraph" w:styleId="9">
    <w:name w:val="toc 9"/>
    <w:basedOn w:val="a"/>
    <w:next w:val="a"/>
    <w:autoRedefine/>
    <w:uiPriority w:val="39"/>
    <w:unhideWhenUsed/>
    <w:rsid w:val="00F85E25"/>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1F"/>
  </w:style>
  <w:style w:type="paragraph" w:styleId="1">
    <w:name w:val="heading 1"/>
    <w:basedOn w:val="a"/>
    <w:next w:val="a"/>
    <w:link w:val="10"/>
    <w:uiPriority w:val="9"/>
    <w:qFormat/>
    <w:rsid w:val="009F67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7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94B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A8F"/>
    <w:pPr>
      <w:ind w:left="720"/>
      <w:contextualSpacing/>
    </w:pPr>
  </w:style>
  <w:style w:type="character" w:styleId="a4">
    <w:name w:val="annotation reference"/>
    <w:basedOn w:val="a0"/>
    <w:uiPriority w:val="99"/>
    <w:semiHidden/>
    <w:unhideWhenUsed/>
    <w:rsid w:val="00A26A8F"/>
    <w:rPr>
      <w:sz w:val="16"/>
      <w:szCs w:val="16"/>
    </w:rPr>
  </w:style>
  <w:style w:type="paragraph" w:styleId="a5">
    <w:name w:val="annotation text"/>
    <w:basedOn w:val="a"/>
    <w:link w:val="a6"/>
    <w:uiPriority w:val="99"/>
    <w:semiHidden/>
    <w:unhideWhenUsed/>
    <w:rsid w:val="00A26A8F"/>
    <w:pPr>
      <w:spacing w:line="240" w:lineRule="auto"/>
    </w:pPr>
    <w:rPr>
      <w:sz w:val="20"/>
      <w:szCs w:val="20"/>
    </w:rPr>
  </w:style>
  <w:style w:type="character" w:customStyle="1" w:styleId="a6">
    <w:name w:val="Текст примечания Знак"/>
    <w:basedOn w:val="a0"/>
    <w:link w:val="a5"/>
    <w:uiPriority w:val="99"/>
    <w:semiHidden/>
    <w:rsid w:val="00A26A8F"/>
    <w:rPr>
      <w:sz w:val="20"/>
      <w:szCs w:val="20"/>
    </w:rPr>
  </w:style>
  <w:style w:type="paragraph" w:styleId="a7">
    <w:name w:val="annotation subject"/>
    <w:basedOn w:val="a5"/>
    <w:next w:val="a5"/>
    <w:link w:val="a8"/>
    <w:uiPriority w:val="99"/>
    <w:semiHidden/>
    <w:unhideWhenUsed/>
    <w:rsid w:val="00A26A8F"/>
    <w:rPr>
      <w:b/>
      <w:bCs/>
    </w:rPr>
  </w:style>
  <w:style w:type="character" w:customStyle="1" w:styleId="a8">
    <w:name w:val="Тема примечания Знак"/>
    <w:basedOn w:val="a6"/>
    <w:link w:val="a7"/>
    <w:uiPriority w:val="99"/>
    <w:semiHidden/>
    <w:rsid w:val="00A26A8F"/>
    <w:rPr>
      <w:b/>
      <w:bCs/>
      <w:sz w:val="20"/>
      <w:szCs w:val="20"/>
    </w:rPr>
  </w:style>
  <w:style w:type="paragraph" w:styleId="a9">
    <w:name w:val="Balloon Text"/>
    <w:basedOn w:val="a"/>
    <w:link w:val="aa"/>
    <w:uiPriority w:val="99"/>
    <w:semiHidden/>
    <w:unhideWhenUsed/>
    <w:rsid w:val="00A26A8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26A8F"/>
    <w:rPr>
      <w:rFonts w:ascii="Segoe UI" w:hAnsi="Segoe UI" w:cs="Segoe UI"/>
      <w:sz w:val="18"/>
      <w:szCs w:val="18"/>
    </w:rPr>
  </w:style>
  <w:style w:type="paragraph" w:styleId="ab">
    <w:name w:val="header"/>
    <w:basedOn w:val="a"/>
    <w:link w:val="ac"/>
    <w:uiPriority w:val="99"/>
    <w:unhideWhenUsed/>
    <w:rsid w:val="0096401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64010"/>
  </w:style>
  <w:style w:type="paragraph" w:styleId="ad">
    <w:name w:val="footer"/>
    <w:basedOn w:val="a"/>
    <w:link w:val="ae"/>
    <w:uiPriority w:val="99"/>
    <w:unhideWhenUsed/>
    <w:rsid w:val="0096401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64010"/>
  </w:style>
  <w:style w:type="paragraph" w:customStyle="1" w:styleId="ConsPlusNormal">
    <w:name w:val="ConsPlusNormal"/>
    <w:rsid w:val="00627F72"/>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9F67C1"/>
    <w:rPr>
      <w:rFonts w:asciiTheme="majorHAnsi" w:eastAsiaTheme="majorEastAsia" w:hAnsiTheme="majorHAnsi" w:cstheme="majorBidi"/>
      <w:color w:val="2E74B5" w:themeColor="accent1" w:themeShade="BF"/>
      <w:sz w:val="32"/>
      <w:szCs w:val="32"/>
    </w:rPr>
  </w:style>
  <w:style w:type="paragraph" w:styleId="af">
    <w:name w:val="Subtitle"/>
    <w:basedOn w:val="a"/>
    <w:next w:val="a"/>
    <w:link w:val="af0"/>
    <w:uiPriority w:val="11"/>
    <w:qFormat/>
    <w:rsid w:val="009F67C1"/>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9F67C1"/>
    <w:rPr>
      <w:rFonts w:eastAsiaTheme="minorEastAsia"/>
      <w:color w:val="5A5A5A" w:themeColor="text1" w:themeTint="A5"/>
      <w:spacing w:val="15"/>
    </w:rPr>
  </w:style>
  <w:style w:type="paragraph" w:styleId="af1">
    <w:name w:val="TOC Heading"/>
    <w:basedOn w:val="1"/>
    <w:next w:val="a"/>
    <w:uiPriority w:val="39"/>
    <w:unhideWhenUsed/>
    <w:qFormat/>
    <w:rsid w:val="0068781B"/>
    <w:pPr>
      <w:outlineLvl w:val="9"/>
    </w:pPr>
    <w:rPr>
      <w:lang w:eastAsia="ru-RU"/>
    </w:rPr>
  </w:style>
  <w:style w:type="paragraph" w:styleId="11">
    <w:name w:val="toc 1"/>
    <w:basedOn w:val="a"/>
    <w:next w:val="a"/>
    <w:autoRedefine/>
    <w:uiPriority w:val="39"/>
    <w:unhideWhenUsed/>
    <w:rsid w:val="00B235FA"/>
    <w:pPr>
      <w:spacing w:before="120" w:after="120"/>
    </w:pPr>
    <w:rPr>
      <w:b/>
      <w:bCs/>
      <w:caps/>
      <w:sz w:val="20"/>
      <w:szCs w:val="20"/>
    </w:rPr>
  </w:style>
  <w:style w:type="character" w:styleId="af2">
    <w:name w:val="Hyperlink"/>
    <w:basedOn w:val="a0"/>
    <w:uiPriority w:val="99"/>
    <w:unhideWhenUsed/>
    <w:rsid w:val="0068781B"/>
    <w:rPr>
      <w:color w:val="0563C1" w:themeColor="hyperlink"/>
      <w:u w:val="single"/>
    </w:rPr>
  </w:style>
  <w:style w:type="character" w:customStyle="1" w:styleId="20">
    <w:name w:val="Заголовок 2 Знак"/>
    <w:basedOn w:val="a0"/>
    <w:link w:val="2"/>
    <w:uiPriority w:val="9"/>
    <w:rsid w:val="0068781B"/>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68781B"/>
    <w:pPr>
      <w:spacing w:after="0"/>
      <w:ind w:left="220"/>
    </w:pPr>
    <w:rPr>
      <w:smallCaps/>
      <w:sz w:val="20"/>
      <w:szCs w:val="20"/>
    </w:rPr>
  </w:style>
  <w:style w:type="character" w:customStyle="1" w:styleId="30">
    <w:name w:val="Заголовок 3 Знак"/>
    <w:basedOn w:val="a0"/>
    <w:link w:val="3"/>
    <w:uiPriority w:val="9"/>
    <w:rsid w:val="00894B3B"/>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B235FA"/>
    <w:pPr>
      <w:spacing w:after="0"/>
      <w:ind w:left="440"/>
    </w:pPr>
    <w:rPr>
      <w:i/>
      <w:iCs/>
      <w:sz w:val="20"/>
      <w:szCs w:val="20"/>
    </w:rPr>
  </w:style>
  <w:style w:type="paragraph" w:customStyle="1" w:styleId="12">
    <w:name w:val="Стиль1"/>
    <w:basedOn w:val="a"/>
    <w:link w:val="13"/>
    <w:qFormat/>
    <w:rsid w:val="00DE6067"/>
    <w:pPr>
      <w:widowControl w:val="0"/>
      <w:autoSpaceDE w:val="0"/>
      <w:autoSpaceDN w:val="0"/>
      <w:adjustRightInd w:val="0"/>
      <w:spacing w:after="0" w:line="240" w:lineRule="auto"/>
      <w:ind w:firstLine="709"/>
      <w:contextualSpacing/>
      <w:jc w:val="center"/>
    </w:pPr>
    <w:rPr>
      <w:rFonts w:ascii="Times New Roman" w:eastAsia="Times New Roman" w:hAnsi="Times New Roman" w:cs="Times New Roman"/>
      <w:b/>
      <w:sz w:val="28"/>
      <w:szCs w:val="28"/>
      <w:lang w:eastAsia="ru-RU"/>
    </w:rPr>
  </w:style>
  <w:style w:type="paragraph" w:styleId="af3">
    <w:name w:val="Revision"/>
    <w:hidden/>
    <w:uiPriority w:val="99"/>
    <w:semiHidden/>
    <w:rsid w:val="00F36D33"/>
    <w:pPr>
      <w:spacing w:after="0" w:line="240" w:lineRule="auto"/>
    </w:pPr>
  </w:style>
  <w:style w:type="character" w:customStyle="1" w:styleId="13">
    <w:name w:val="Стиль1 Знак"/>
    <w:basedOn w:val="a0"/>
    <w:link w:val="12"/>
    <w:rsid w:val="00DE6067"/>
    <w:rPr>
      <w:rFonts w:ascii="Times New Roman" w:eastAsia="Times New Roman" w:hAnsi="Times New Roman" w:cs="Times New Roman"/>
      <w:b/>
      <w:sz w:val="28"/>
      <w:szCs w:val="28"/>
      <w:lang w:eastAsia="ru-RU"/>
    </w:rPr>
  </w:style>
  <w:style w:type="paragraph" w:styleId="4">
    <w:name w:val="toc 4"/>
    <w:basedOn w:val="a"/>
    <w:next w:val="a"/>
    <w:autoRedefine/>
    <w:uiPriority w:val="39"/>
    <w:unhideWhenUsed/>
    <w:rsid w:val="00F85E25"/>
    <w:pPr>
      <w:spacing w:after="0"/>
      <w:ind w:left="660"/>
    </w:pPr>
    <w:rPr>
      <w:sz w:val="18"/>
      <w:szCs w:val="18"/>
    </w:rPr>
  </w:style>
  <w:style w:type="paragraph" w:styleId="5">
    <w:name w:val="toc 5"/>
    <w:basedOn w:val="a"/>
    <w:next w:val="a"/>
    <w:autoRedefine/>
    <w:uiPriority w:val="39"/>
    <w:unhideWhenUsed/>
    <w:rsid w:val="00F85E25"/>
    <w:pPr>
      <w:spacing w:after="0"/>
      <w:ind w:left="880"/>
    </w:pPr>
    <w:rPr>
      <w:sz w:val="18"/>
      <w:szCs w:val="18"/>
    </w:rPr>
  </w:style>
  <w:style w:type="paragraph" w:styleId="6">
    <w:name w:val="toc 6"/>
    <w:basedOn w:val="a"/>
    <w:next w:val="a"/>
    <w:autoRedefine/>
    <w:uiPriority w:val="39"/>
    <w:unhideWhenUsed/>
    <w:rsid w:val="00F85E25"/>
    <w:pPr>
      <w:spacing w:after="0"/>
      <w:ind w:left="1100"/>
    </w:pPr>
    <w:rPr>
      <w:sz w:val="18"/>
      <w:szCs w:val="18"/>
    </w:rPr>
  </w:style>
  <w:style w:type="paragraph" w:styleId="7">
    <w:name w:val="toc 7"/>
    <w:basedOn w:val="a"/>
    <w:next w:val="a"/>
    <w:autoRedefine/>
    <w:uiPriority w:val="39"/>
    <w:unhideWhenUsed/>
    <w:rsid w:val="00F85E25"/>
    <w:pPr>
      <w:spacing w:after="0"/>
      <w:ind w:left="1320"/>
    </w:pPr>
    <w:rPr>
      <w:sz w:val="18"/>
      <w:szCs w:val="18"/>
    </w:rPr>
  </w:style>
  <w:style w:type="paragraph" w:styleId="8">
    <w:name w:val="toc 8"/>
    <w:basedOn w:val="a"/>
    <w:next w:val="a"/>
    <w:autoRedefine/>
    <w:uiPriority w:val="39"/>
    <w:unhideWhenUsed/>
    <w:rsid w:val="00F85E25"/>
    <w:pPr>
      <w:spacing w:after="0"/>
      <w:ind w:left="1540"/>
    </w:pPr>
    <w:rPr>
      <w:sz w:val="18"/>
      <w:szCs w:val="18"/>
    </w:rPr>
  </w:style>
  <w:style w:type="paragraph" w:styleId="9">
    <w:name w:val="toc 9"/>
    <w:basedOn w:val="a"/>
    <w:next w:val="a"/>
    <w:autoRedefine/>
    <w:uiPriority w:val="39"/>
    <w:unhideWhenUsed/>
    <w:rsid w:val="00F85E25"/>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62525">
      <w:bodyDiv w:val="1"/>
      <w:marLeft w:val="0"/>
      <w:marRight w:val="0"/>
      <w:marTop w:val="0"/>
      <w:marBottom w:val="0"/>
      <w:divBdr>
        <w:top w:val="none" w:sz="0" w:space="0" w:color="auto"/>
        <w:left w:val="none" w:sz="0" w:space="0" w:color="auto"/>
        <w:bottom w:val="none" w:sz="0" w:space="0" w:color="auto"/>
        <w:right w:val="none" w:sz="0" w:space="0" w:color="auto"/>
      </w:divBdr>
      <w:divsChild>
        <w:div w:id="2033799093">
          <w:marLeft w:val="288"/>
          <w:marRight w:val="0"/>
          <w:marTop w:val="0"/>
          <w:marBottom w:val="0"/>
          <w:divBdr>
            <w:top w:val="none" w:sz="0" w:space="0" w:color="auto"/>
            <w:left w:val="none" w:sz="0" w:space="0" w:color="auto"/>
            <w:bottom w:val="none" w:sz="0" w:space="0" w:color="auto"/>
            <w:right w:val="none" w:sz="0" w:space="0" w:color="auto"/>
          </w:divBdr>
        </w:div>
        <w:div w:id="1930697353">
          <w:marLeft w:val="288"/>
          <w:marRight w:val="0"/>
          <w:marTop w:val="0"/>
          <w:marBottom w:val="0"/>
          <w:divBdr>
            <w:top w:val="none" w:sz="0" w:space="0" w:color="auto"/>
            <w:left w:val="none" w:sz="0" w:space="0" w:color="auto"/>
            <w:bottom w:val="none" w:sz="0" w:space="0" w:color="auto"/>
            <w:right w:val="none" w:sz="0" w:space="0" w:color="auto"/>
          </w:divBdr>
        </w:div>
      </w:divsChild>
    </w:div>
    <w:div w:id="475607554">
      <w:bodyDiv w:val="1"/>
      <w:marLeft w:val="0"/>
      <w:marRight w:val="0"/>
      <w:marTop w:val="0"/>
      <w:marBottom w:val="0"/>
      <w:divBdr>
        <w:top w:val="none" w:sz="0" w:space="0" w:color="auto"/>
        <w:left w:val="none" w:sz="0" w:space="0" w:color="auto"/>
        <w:bottom w:val="none" w:sz="0" w:space="0" w:color="auto"/>
        <w:right w:val="none" w:sz="0" w:space="0" w:color="auto"/>
      </w:divBdr>
    </w:div>
    <w:div w:id="785075273">
      <w:bodyDiv w:val="1"/>
      <w:marLeft w:val="0"/>
      <w:marRight w:val="0"/>
      <w:marTop w:val="0"/>
      <w:marBottom w:val="0"/>
      <w:divBdr>
        <w:top w:val="none" w:sz="0" w:space="0" w:color="auto"/>
        <w:left w:val="none" w:sz="0" w:space="0" w:color="auto"/>
        <w:bottom w:val="none" w:sz="0" w:space="0" w:color="auto"/>
        <w:right w:val="none" w:sz="0" w:space="0" w:color="auto"/>
      </w:divBdr>
    </w:div>
    <w:div w:id="1011369648">
      <w:bodyDiv w:val="1"/>
      <w:marLeft w:val="0"/>
      <w:marRight w:val="0"/>
      <w:marTop w:val="0"/>
      <w:marBottom w:val="0"/>
      <w:divBdr>
        <w:top w:val="none" w:sz="0" w:space="0" w:color="auto"/>
        <w:left w:val="none" w:sz="0" w:space="0" w:color="auto"/>
        <w:bottom w:val="none" w:sz="0" w:space="0" w:color="auto"/>
        <w:right w:val="none" w:sz="0" w:space="0" w:color="auto"/>
      </w:divBdr>
    </w:div>
    <w:div w:id="1408458535">
      <w:bodyDiv w:val="1"/>
      <w:marLeft w:val="0"/>
      <w:marRight w:val="0"/>
      <w:marTop w:val="0"/>
      <w:marBottom w:val="0"/>
      <w:divBdr>
        <w:top w:val="none" w:sz="0" w:space="0" w:color="auto"/>
        <w:left w:val="none" w:sz="0" w:space="0" w:color="auto"/>
        <w:bottom w:val="none" w:sz="0" w:space="0" w:color="auto"/>
        <w:right w:val="none" w:sz="0" w:space="0" w:color="auto"/>
      </w:divBdr>
      <w:divsChild>
        <w:div w:id="488332840">
          <w:marLeft w:val="0"/>
          <w:marRight w:val="0"/>
          <w:marTop w:val="0"/>
          <w:marBottom w:val="0"/>
          <w:divBdr>
            <w:top w:val="none" w:sz="0" w:space="0" w:color="auto"/>
            <w:left w:val="none" w:sz="0" w:space="0" w:color="auto"/>
            <w:bottom w:val="none" w:sz="0" w:space="0" w:color="auto"/>
            <w:right w:val="none" w:sz="0" w:space="0" w:color="auto"/>
          </w:divBdr>
          <w:divsChild>
            <w:div w:id="878905692">
              <w:marLeft w:val="0"/>
              <w:marRight w:val="0"/>
              <w:marTop w:val="0"/>
              <w:marBottom w:val="0"/>
              <w:divBdr>
                <w:top w:val="none" w:sz="0" w:space="0" w:color="auto"/>
                <w:left w:val="none" w:sz="0" w:space="0" w:color="auto"/>
                <w:bottom w:val="none" w:sz="0" w:space="0" w:color="auto"/>
                <w:right w:val="none" w:sz="0" w:space="0" w:color="auto"/>
              </w:divBdr>
              <w:divsChild>
                <w:div w:id="1888957301">
                  <w:marLeft w:val="0"/>
                  <w:marRight w:val="0"/>
                  <w:marTop w:val="0"/>
                  <w:marBottom w:val="0"/>
                  <w:divBdr>
                    <w:top w:val="none" w:sz="0" w:space="0" w:color="auto"/>
                    <w:left w:val="none" w:sz="0" w:space="0" w:color="auto"/>
                    <w:bottom w:val="none" w:sz="0" w:space="0" w:color="auto"/>
                    <w:right w:val="none" w:sz="0" w:space="0" w:color="auto"/>
                  </w:divBdr>
                  <w:divsChild>
                    <w:div w:id="59910527">
                      <w:marLeft w:val="-3928"/>
                      <w:marRight w:val="0"/>
                      <w:marTop w:val="0"/>
                      <w:marBottom w:val="0"/>
                      <w:divBdr>
                        <w:top w:val="none" w:sz="0" w:space="0" w:color="auto"/>
                        <w:left w:val="none" w:sz="0" w:space="0" w:color="auto"/>
                        <w:bottom w:val="none" w:sz="0" w:space="0" w:color="auto"/>
                        <w:right w:val="none" w:sz="0" w:space="0" w:color="auto"/>
                      </w:divBdr>
                      <w:divsChild>
                        <w:div w:id="476454797">
                          <w:marLeft w:val="0"/>
                          <w:marRight w:val="0"/>
                          <w:marTop w:val="0"/>
                          <w:marBottom w:val="0"/>
                          <w:divBdr>
                            <w:top w:val="none" w:sz="0" w:space="0" w:color="auto"/>
                            <w:left w:val="none" w:sz="0" w:space="0" w:color="auto"/>
                            <w:bottom w:val="none" w:sz="0" w:space="0" w:color="auto"/>
                            <w:right w:val="none" w:sz="0" w:space="0" w:color="auto"/>
                          </w:divBdr>
                          <w:divsChild>
                            <w:div w:id="219757549">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dc1\common\&#1054;&#1090;&#1076;&#1077;&#1083;%20&#1087;&#1088;&#1086;&#1075;&#1085;&#1086;&#1079;&#1080;&#1088;&#1086;&#1074;&#1072;&#1085;&#1080;&#1103;%20&#1076;&#1086;&#1093;&#1086;&#1076;&#1086;&#1074;\&#1054;&#1090;&#1076;&#1077;&#1083;\&#1041;&#1102;&#1076;&#1078;&#1077;&#1090;%202018\&#1086;&#1089;&#1085;&#1086;&#1074;&#1085;&#1099;&#1077;%20&#1085;&#1072;&#1087;&#1088;&#1072;&#1074;&#1083;&#1077;&#1085;&#1080;&#1103;\&#1072;&#1088;&#1093;&#1080;&#1074;\&#1089;&#1086;&#1073;&#1089;&#1090;&#1074;&#1077;&#1085;&#1085;&#1099;&#1077;%20&#1076;&#1086;&#1093;&#1086;&#1076;&#1099;.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openxmlformats.org/officeDocument/2006/relationships/package" Target="../embeddings/Microsoft_Excel_Worksheet2.xlsx"/><Relationship Id="rId1" Type="http://schemas.openxmlformats.org/officeDocument/2006/relationships/themeOverride" Target="../theme/themeOverride2.xml"/><Relationship Id="rId4"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openxmlformats.org/officeDocument/2006/relationships/package" Target="../embeddings/Microsoft_Excel_Worksheet3.xlsx"/><Relationship Id="rId1" Type="http://schemas.openxmlformats.org/officeDocument/2006/relationships/themeOverride" Target="../theme/themeOverride3.xml"/><Relationship Id="rId4"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openxmlformats.org/officeDocument/2006/relationships/package" Target="../embeddings/Microsoft_Excel_Worksheet4.xlsx"/><Relationship Id="rId1" Type="http://schemas.openxmlformats.org/officeDocument/2006/relationships/themeOverride" Target="../theme/themeOverride4.xml"/><Relationship Id="rId4"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openxmlformats.org/officeDocument/2006/relationships/package" Target="../embeddings/Microsoft_Excel_Worksheet5.xlsx"/><Relationship Id="rId1" Type="http://schemas.openxmlformats.org/officeDocument/2006/relationships/themeOverride" Target="../theme/themeOverride5.xml"/><Relationship Id="rId4"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openxmlformats.org/officeDocument/2006/relationships/package" Target="../embeddings/Microsoft_Excel_Worksheet6.xlsx"/><Relationship Id="rId1" Type="http://schemas.openxmlformats.org/officeDocument/2006/relationships/themeOverride" Target="../theme/themeOverride6.xml"/><Relationship Id="rId4"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openxmlformats.org/officeDocument/2006/relationships/package" Target="../embeddings/Microsoft_Excel_Worksheet7.xlsx"/><Relationship Id="rId1" Type="http://schemas.openxmlformats.org/officeDocument/2006/relationships/themeOverride" Target="../theme/themeOverride7.xml"/><Relationship Id="rId4"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openxmlformats.org/officeDocument/2006/relationships/package" Target="../embeddings/Microsoft_Excel_Worksheet8.xlsx"/><Relationship Id="rId1" Type="http://schemas.openxmlformats.org/officeDocument/2006/relationships/themeOverride" Target="../theme/themeOverride8.xml"/><Relationship Id="rId4"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a:t>Рост налоговых и неналоговых доходов консолидированного бюджета в сравнении с</a:t>
            </a:r>
            <a:r>
              <a:rPr lang="ru-RU" baseline="0"/>
              <a:t> изменением цен в регионе</a:t>
            </a:r>
            <a:endParaRPr lang="ru-RU"/>
          </a:p>
        </c:rich>
      </c:tx>
      <c:layout>
        <c:manualLayout>
          <c:xMode val="edge"/>
          <c:yMode val="edge"/>
          <c:x val="0.12741310596464059"/>
          <c:y val="6.2745098039215684E-3"/>
        </c:manualLayout>
      </c:layout>
      <c:overlay val="0"/>
      <c:spPr>
        <a:noFill/>
        <a:ln>
          <a:noFill/>
        </a:ln>
        <a:effectLst/>
      </c:spPr>
    </c:title>
    <c:autoTitleDeleted val="0"/>
    <c:plotArea>
      <c:layout>
        <c:manualLayout>
          <c:layoutTarget val="inner"/>
          <c:xMode val="edge"/>
          <c:yMode val="edge"/>
          <c:x val="9.4589360188875371E-2"/>
          <c:y val="0.20851363236587508"/>
          <c:w val="0.83066093755918136"/>
          <c:h val="0.43942354171427778"/>
        </c:manualLayout>
      </c:layout>
      <c:barChart>
        <c:barDir val="col"/>
        <c:grouping val="stacked"/>
        <c:varyColors val="0"/>
        <c:ser>
          <c:idx val="0"/>
          <c:order val="0"/>
          <c:tx>
            <c:strRef>
              <c:f>Лист1!$A$3</c:f>
              <c:strCache>
                <c:ptCount val="1"/>
                <c:pt idx="0">
                  <c:v>налоговые и неналоговые доходы консолидированного бюджета (млн рублей)</c:v>
                </c:pt>
              </c:strCache>
            </c:strRef>
          </c:tx>
          <c:spPr>
            <a:solidFill>
              <a:schemeClr val="accent1">
                <a:lumMod val="20000"/>
                <a:lumOff val="80000"/>
              </a:schemeClr>
            </a:solidFill>
            <a:ln w="9525" cap="flat" cmpd="sng" algn="ctr">
              <a:solidFill>
                <a:schemeClr val="accent1">
                  <a:lumMod val="75000"/>
                </a:schemeClr>
              </a:solidFill>
              <a:round/>
            </a:ln>
            <a:effectLst>
              <a:outerShdw blurRad="40000" dist="20000" dir="5400000" rotWithShape="0">
                <a:srgbClr val="000000">
                  <a:alpha val="38000"/>
                </a:srgbClr>
              </a:outerShdw>
            </a:effectLst>
          </c:spPr>
          <c:invertIfNegative val="0"/>
          <c:dLbls>
            <c:dLbl>
              <c:idx val="0"/>
              <c:layout>
                <c:manualLayout>
                  <c:x val="-2.6297781724371572E-3"/>
                  <c:y val="-0.17032329782306629"/>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77B2-4698-9B66-E266EC271D72}"/>
                </c:ext>
              </c:extLst>
            </c:dLbl>
            <c:dLbl>
              <c:idx val="1"/>
              <c:layout>
                <c:manualLayout>
                  <c:x val="-1.6460101760395931E-3"/>
                  <c:y val="-0.16087620812104375"/>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77B2-4698-9B66-E266EC271D72}"/>
                </c:ext>
              </c:extLst>
            </c:dLbl>
            <c:dLbl>
              <c:idx val="2"/>
              <c:layout>
                <c:manualLayout>
                  <c:x val="-2.137894174238375E-3"/>
                  <c:y val="-0.176034089856415"/>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77B2-4698-9B66-E266EC271D72}"/>
                </c:ext>
              </c:extLst>
            </c:dLbl>
            <c:dLbl>
              <c:idx val="3"/>
              <c:layout>
                <c:manualLayout>
                  <c:x val="8.0596926987546412E-3"/>
                  <c:y val="-0.16171560907827698"/>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77B2-4698-9B66-E266EC271D72}"/>
                </c:ext>
              </c:extLst>
            </c:dLbl>
            <c:dLbl>
              <c:idx val="4"/>
              <c:layout>
                <c:manualLayout>
                  <c:x val="-1.6460101760395931E-3"/>
                  <c:y val="-0.23422547475683186"/>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77B2-4698-9B66-E266EC271D72}"/>
                </c:ext>
              </c:extLst>
            </c:dLbl>
            <c:dLbl>
              <c:idx val="5"/>
              <c:layout>
                <c:manualLayout>
                  <c:x val="0"/>
                  <c:y val="-0.24734957542071945"/>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77B2-4698-9B66-E266EC271D72}"/>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1">
                        <a:lumMod val="7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Лист1!$C$2:$H$2</c:f>
              <c:strCache>
                <c:ptCount val="6"/>
                <c:pt idx="0">
                  <c:v>2012 год</c:v>
                </c:pt>
                <c:pt idx="1">
                  <c:v>2013 год</c:v>
                </c:pt>
                <c:pt idx="2">
                  <c:v>2014 год</c:v>
                </c:pt>
                <c:pt idx="3">
                  <c:v>2015 год</c:v>
                </c:pt>
                <c:pt idx="4">
                  <c:v>2016 год</c:v>
                </c:pt>
                <c:pt idx="5">
                  <c:v>2017 год*</c:v>
                </c:pt>
              </c:strCache>
            </c:strRef>
          </c:cat>
          <c:val>
            <c:numRef>
              <c:f>Лист1!$C$3:$H$3</c:f>
              <c:numCache>
                <c:formatCode>#,##0</c:formatCode>
                <c:ptCount val="6"/>
                <c:pt idx="0">
                  <c:v>105830</c:v>
                </c:pt>
                <c:pt idx="1">
                  <c:v>101854</c:v>
                </c:pt>
                <c:pt idx="2">
                  <c:v>106346</c:v>
                </c:pt>
                <c:pt idx="3">
                  <c:v>106765</c:v>
                </c:pt>
                <c:pt idx="4">
                  <c:v>131373</c:v>
                </c:pt>
                <c:pt idx="5">
                  <c:v>131633</c:v>
                </c:pt>
              </c:numCache>
            </c:numRef>
          </c:val>
          <c:extLst xmlns:c16r2="http://schemas.microsoft.com/office/drawing/2015/06/chart">
            <c:ext xmlns:c16="http://schemas.microsoft.com/office/drawing/2014/chart" uri="{C3380CC4-5D6E-409C-BE32-E72D297353CC}">
              <c16:uniqueId val="{00000006-77B2-4698-9B66-E266EC271D72}"/>
            </c:ext>
          </c:extLst>
        </c:ser>
        <c:dLbls>
          <c:showLegendKey val="0"/>
          <c:showVal val="0"/>
          <c:showCatName val="0"/>
          <c:showSerName val="0"/>
          <c:showPercent val="0"/>
          <c:showBubbleSize val="0"/>
        </c:dLbls>
        <c:gapWidth val="150"/>
        <c:overlap val="100"/>
        <c:axId val="133562368"/>
        <c:axId val="133565056"/>
      </c:barChart>
      <c:lineChart>
        <c:grouping val="standard"/>
        <c:varyColors val="0"/>
        <c:ser>
          <c:idx val="1"/>
          <c:order val="1"/>
          <c:tx>
            <c:strRef>
              <c:f>Лист1!$A$4</c:f>
              <c:strCache>
                <c:ptCount val="1"/>
                <c:pt idx="0">
                  <c:v>накопительный темп роста налоговых и неналоговых доходов к уровню 2011г. (%)</c:v>
                </c:pt>
              </c:strCache>
            </c:strRef>
          </c:tx>
          <c:spPr>
            <a:ln w="15875" cap="rnd">
              <a:solidFill>
                <a:schemeClr val="accent3">
                  <a:lumMod val="50000"/>
                </a:schemeClr>
              </a:solidFill>
              <a:round/>
            </a:ln>
            <a:effectLst>
              <a:outerShdw blurRad="40000" dist="20000" dir="5400000" rotWithShape="0">
                <a:srgbClr val="000000">
                  <a:alpha val="38000"/>
                </a:srgbClr>
              </a:outerShdw>
            </a:effectLst>
          </c:spPr>
          <c:marker>
            <c:symbol val="none"/>
          </c:marker>
          <c:dLbls>
            <c:dLbl>
              <c:idx val="0"/>
              <c:layout>
                <c:manualLayout>
                  <c:x val="-3.6148148148148151E-2"/>
                  <c:y val="-1.33030900180512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77B2-4698-9B66-E266EC271D72}"/>
                </c:ext>
              </c:extLst>
            </c:dLbl>
            <c:dLbl>
              <c:idx val="1"/>
              <c:layout>
                <c:manualLayout>
                  <c:x val="-3.6148148148148151E-2"/>
                  <c:y val="-1.813400697363788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77B2-4698-9B66-E266EC271D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50000"/>
                      </a:schemeClr>
                    </a:solidFill>
                    <a:effectLst>
                      <a:glow rad="101600">
                        <a:schemeClr val="bg1">
                          <a:alpha val="60000"/>
                        </a:schemeClr>
                      </a:glow>
                    </a:effectLst>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Лист1!$C$4:$H$4</c:f>
              <c:numCache>
                <c:formatCode>0.0%</c:formatCode>
                <c:ptCount val="6"/>
                <c:pt idx="0">
                  <c:v>1.1920880408213839</c:v>
                </c:pt>
                <c:pt idx="1">
                  <c:v>1.1473016659720423</c:v>
                </c:pt>
                <c:pt idx="2">
                  <c:v>1.1979003570744675</c:v>
                </c:pt>
                <c:pt idx="3">
                  <c:v>1.2026200479854017</c:v>
                </c:pt>
                <c:pt idx="4">
                  <c:v>1.4798089595278057</c:v>
                </c:pt>
                <c:pt idx="5">
                  <c:v>1.4827376460119175</c:v>
                </c:pt>
              </c:numCache>
            </c:numRef>
          </c:val>
          <c:smooth val="0"/>
          <c:extLst xmlns:c16r2="http://schemas.microsoft.com/office/drawing/2015/06/chart">
            <c:ext xmlns:c16="http://schemas.microsoft.com/office/drawing/2014/chart" uri="{C3380CC4-5D6E-409C-BE32-E72D297353CC}">
              <c16:uniqueId val="{00000009-77B2-4698-9B66-E266EC271D72}"/>
            </c:ext>
          </c:extLst>
        </c:ser>
        <c:ser>
          <c:idx val="2"/>
          <c:order val="2"/>
          <c:tx>
            <c:strRef>
              <c:f>Лист1!$A$6</c:f>
              <c:strCache>
                <c:ptCount val="1"/>
                <c:pt idx="0">
                  <c:v>индекс потребительских цен (тарифов) на все товары и услуги по Иркутской области (% к декабрю 2011 года)</c:v>
                </c:pt>
              </c:strCache>
            </c:strRef>
          </c:tx>
          <c:spPr>
            <a:ln w="15875" cap="rnd">
              <a:solidFill>
                <a:srgbClr val="C00000"/>
              </a:solidFill>
              <a:round/>
            </a:ln>
            <a:effectLst>
              <a:outerShdw blurRad="40000" dist="20000" dir="5400000" rotWithShape="0">
                <a:srgbClr val="000000">
                  <a:alpha val="38000"/>
                </a:srgbClr>
              </a:outerShdw>
            </a:effectLst>
          </c:spPr>
          <c:marker>
            <c:symbol val="none"/>
          </c:marker>
          <c:dLbls>
            <c:dLbl>
              <c:idx val="0"/>
              <c:layout>
                <c:manualLayout>
                  <c:x val="-3.6148148148148151E-2"/>
                  <c:y val="1.813400697363783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77B2-4698-9B66-E266EC271D72}"/>
                </c:ext>
              </c:extLst>
            </c:dLbl>
            <c:dLbl>
              <c:idx val="1"/>
              <c:layout>
                <c:manualLayout>
                  <c:x val="-3.6148148148148151E-2"/>
                  <c:y val="2.054946545143112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77B2-4698-9B66-E266EC271D72}"/>
                </c:ext>
              </c:extLst>
            </c:dLbl>
            <c:dLbl>
              <c:idx val="2"/>
              <c:layout>
                <c:manualLayout>
                  <c:x val="-6.1913415285943345E-2"/>
                  <c:y val="-2.0368689207966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77B2-4698-9B66-E266EC271D72}"/>
                </c:ext>
              </c:extLst>
            </c:dLbl>
            <c:dLbl>
              <c:idx val="3"/>
              <c:layout>
                <c:manualLayout>
                  <c:x val="-5.122394441475147E-2"/>
                  <c:y val="-3.291770881580979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77B2-4698-9B66-E266EC271D72}"/>
                </c:ext>
              </c:extLst>
            </c:dLbl>
            <c:dLbl>
              <c:idx val="4"/>
              <c:layout>
                <c:manualLayout>
                  <c:x val="-4.694815606627472E-2"/>
                  <c:y val="-2.0368689207966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77B2-4698-9B66-E266EC271D72}"/>
                </c:ext>
              </c:extLst>
            </c:dLbl>
            <c:dLbl>
              <c:idx val="5"/>
              <c:layout>
                <c:manualLayout>
                  <c:x val="-3.6148148148148151E-2"/>
                  <c:y val="-2.292878714884796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77B2-4698-9B66-E266EC271D7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effectLst>
                      <a:glow rad="101600">
                        <a:schemeClr val="bg1">
                          <a:alpha val="60000"/>
                        </a:schemeClr>
                      </a:glow>
                    </a:effectLst>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Лист1!$C$6:$H$6</c:f>
              <c:numCache>
                <c:formatCode>0.0%</c:formatCode>
                <c:ptCount val="6"/>
                <c:pt idx="0">
                  <c:v>1.069</c:v>
                </c:pt>
                <c:pt idx="1">
                  <c:v>1.1235189999999999</c:v>
                </c:pt>
                <c:pt idx="2">
                  <c:v>1.244859052</c:v>
                </c:pt>
                <c:pt idx="3">
                  <c:v>1.3967318563440001</c:v>
                </c:pt>
                <c:pt idx="4">
                  <c:v>1.4903128907190479</c:v>
                </c:pt>
                <c:pt idx="5">
                  <c:v>1.5126675840798336</c:v>
                </c:pt>
              </c:numCache>
            </c:numRef>
          </c:val>
          <c:smooth val="0"/>
          <c:extLst xmlns:c16r2="http://schemas.microsoft.com/office/drawing/2015/06/chart">
            <c:ext xmlns:c16="http://schemas.microsoft.com/office/drawing/2014/chart" uri="{C3380CC4-5D6E-409C-BE32-E72D297353CC}">
              <c16:uniqueId val="{00000010-77B2-4698-9B66-E266EC271D72}"/>
            </c:ext>
          </c:extLst>
        </c:ser>
        <c:dLbls>
          <c:showLegendKey val="0"/>
          <c:showVal val="0"/>
          <c:showCatName val="0"/>
          <c:showSerName val="0"/>
          <c:showPercent val="0"/>
          <c:showBubbleSize val="0"/>
        </c:dLbls>
        <c:marker val="1"/>
        <c:smooth val="0"/>
        <c:axId val="142861056"/>
        <c:axId val="133569536"/>
      </c:lineChart>
      <c:catAx>
        <c:axId val="13356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33565056"/>
        <c:crosses val="autoZero"/>
        <c:auto val="1"/>
        <c:lblAlgn val="ctr"/>
        <c:lblOffset val="100"/>
        <c:noMultiLvlLbl val="0"/>
      </c:catAx>
      <c:valAx>
        <c:axId val="133565056"/>
        <c:scaling>
          <c:orientation val="minMax"/>
          <c:min val="500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33562368"/>
        <c:crosses val="autoZero"/>
        <c:crossBetween val="between"/>
      </c:valAx>
      <c:valAx>
        <c:axId val="133569536"/>
        <c:scaling>
          <c:orientation val="minMax"/>
          <c:min val="0.75000000000000011"/>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42861056"/>
        <c:crosses val="max"/>
        <c:crossBetween val="between"/>
      </c:valAx>
      <c:catAx>
        <c:axId val="142861056"/>
        <c:scaling>
          <c:orientation val="minMax"/>
        </c:scaling>
        <c:delete val="1"/>
        <c:axPos val="b"/>
        <c:majorTickMark val="none"/>
        <c:minorTickMark val="none"/>
        <c:tickLblPos val="nextTo"/>
        <c:crossAx val="133569536"/>
        <c:crosses val="autoZero"/>
        <c:auto val="1"/>
        <c:lblAlgn val="ctr"/>
        <c:lblOffset val="100"/>
        <c:noMultiLvlLbl val="0"/>
      </c:catAx>
      <c:spPr>
        <a:noFill/>
        <a:ln>
          <a:noFill/>
        </a:ln>
        <a:effectLst/>
      </c:spPr>
    </c:plotArea>
    <c:legend>
      <c:legendPos val="b"/>
      <c:layout>
        <c:manualLayout>
          <c:xMode val="edge"/>
          <c:yMode val="edge"/>
          <c:x val="6.5440940673436671E-2"/>
          <c:y val="0.78116330445501703"/>
          <c:w val="0.86056654195617321"/>
          <c:h val="0.190982244866450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a:t>Количество налогоплательщиков на упрощенной системе налогообложения в Иркутской области в 2016 году</a:t>
            </a:r>
          </a:p>
        </c:rich>
      </c:tx>
      <c:overlay val="0"/>
      <c:spPr>
        <a:noFill/>
        <a:ln>
          <a:noFill/>
        </a:ln>
        <a:effectLst/>
      </c:spPr>
    </c:title>
    <c:autoTitleDeleted val="0"/>
    <c:plotArea>
      <c:layout>
        <c:manualLayout>
          <c:layoutTarget val="inner"/>
          <c:xMode val="edge"/>
          <c:yMode val="edge"/>
          <c:x val="0.38504079911971079"/>
          <c:y val="0.33828922802175504"/>
          <c:w val="0.26379619970371215"/>
          <c:h val="0.56192669859566524"/>
        </c:manualLayout>
      </c:layout>
      <c:pieChart>
        <c:varyColors val="1"/>
        <c:ser>
          <c:idx val="0"/>
          <c:order val="0"/>
          <c:tx>
            <c:strRef>
              <c:f>Лист1!$B$1</c:f>
              <c:strCache>
                <c:ptCount val="1"/>
                <c:pt idx="0">
                  <c:v>Количество налогоплательщиков на УСН</c:v>
                </c:pt>
              </c:strCache>
            </c:strRef>
          </c:tx>
          <c:dPt>
            <c:idx val="0"/>
            <c:bubble3D val="0"/>
            <c:spPr>
              <a:solidFill>
                <a:schemeClr val="accent2">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D8F6-41C1-8017-8413E1F5106F}"/>
              </c:ext>
            </c:extLst>
          </c:dPt>
          <c:dPt>
            <c:idx val="1"/>
            <c:bubble3D val="0"/>
            <c:spPr>
              <a:solidFill>
                <a:schemeClr val="accent3">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D8F6-41C1-8017-8413E1F5106F}"/>
              </c:ext>
            </c:extLst>
          </c:dPt>
          <c:dLbls>
            <c:dLbl>
              <c:idx val="0"/>
              <c:layout>
                <c:manualLayout>
                  <c:x val="-0.12943171619676572"/>
                  <c:y val="-6.2527587277396782E-2"/>
                </c:manualLayout>
              </c:layou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layout>
                    <c:manualLayout>
                      <c:w val="0.16594835323003979"/>
                      <c:h val="0.29765058937525279"/>
                    </c:manualLayout>
                  </c15:layout>
                </c:ext>
                <c:ext xmlns:c16="http://schemas.microsoft.com/office/drawing/2014/chart" uri="{C3380CC4-5D6E-409C-BE32-E72D297353CC}">
                  <c16:uniqueId val="{00000001-D8F6-41C1-8017-8413E1F5106F}"/>
                </c:ext>
              </c:extLst>
            </c:dLbl>
            <c:dLbl>
              <c:idx val="1"/>
              <c:layout>
                <c:manualLayout>
                  <c:x val="0.11036584539835746"/>
                  <c:y val="4.2523824306907876E-2"/>
                </c:manualLayout>
              </c:layou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D8F6-41C1-8017-8413E1F5106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организации</c:v>
                </c:pt>
                <c:pt idx="1">
                  <c:v>ИП</c:v>
                </c:pt>
              </c:strCache>
            </c:strRef>
          </c:cat>
          <c:val>
            <c:numRef>
              <c:f>Лист1!$B$2:$B$3</c:f>
              <c:numCache>
                <c:formatCode>#,##0</c:formatCode>
                <c:ptCount val="2"/>
                <c:pt idx="0">
                  <c:v>24976</c:v>
                </c:pt>
                <c:pt idx="1">
                  <c:v>20501</c:v>
                </c:pt>
              </c:numCache>
            </c:numRef>
          </c:val>
          <c:extLst xmlns:c16r2="http://schemas.microsoft.com/office/drawing/2015/06/chart">
            <c:ext xmlns:c16="http://schemas.microsoft.com/office/drawing/2014/chart" uri="{C3380CC4-5D6E-409C-BE32-E72D297353CC}">
              <c16:uniqueId val="{00000004-D8F6-41C1-8017-8413E1F5106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chemeClr val="bg1">
                    <a:lumMod val="50000"/>
                  </a:schemeClr>
                </a:solidFill>
                <a:latin typeface="+mn-lt"/>
                <a:ea typeface="+mn-ea"/>
                <a:cs typeface="+mn-cs"/>
              </a:defRPr>
            </a:pPr>
            <a:r>
              <a:rPr lang="ru-RU" sz="1400" b="0">
                <a:solidFill>
                  <a:schemeClr val="bg1">
                    <a:lumMod val="50000"/>
                  </a:schemeClr>
                </a:solidFill>
              </a:rPr>
              <a:t>Задекларированный плательщиками УСН по итогам </a:t>
            </a:r>
          </a:p>
          <a:p>
            <a:pPr>
              <a:defRPr sz="1400" b="0" i="0" u="none" strike="noStrike" kern="1200" baseline="0">
                <a:solidFill>
                  <a:schemeClr val="bg1">
                    <a:lumMod val="50000"/>
                  </a:schemeClr>
                </a:solidFill>
                <a:latin typeface="+mn-lt"/>
                <a:ea typeface="+mn-ea"/>
                <a:cs typeface="+mn-cs"/>
              </a:defRPr>
            </a:pPr>
            <a:r>
              <a:rPr lang="ru-RU" sz="1400" b="0">
                <a:solidFill>
                  <a:schemeClr val="bg1">
                    <a:lumMod val="50000"/>
                  </a:schemeClr>
                </a:solidFill>
              </a:rPr>
              <a:t>2016 года доход (тыс. рублей)</a:t>
            </a:r>
          </a:p>
        </c:rich>
      </c:tx>
      <c:overlay val="0"/>
      <c:spPr>
        <a:noFill/>
        <a:ln>
          <a:noFill/>
        </a:ln>
        <a:effectLst/>
      </c:spPr>
    </c:title>
    <c:autoTitleDeleted val="0"/>
    <c:plotArea>
      <c:layout/>
      <c:barChart>
        <c:barDir val="col"/>
        <c:grouping val="clustered"/>
        <c:varyColors val="0"/>
        <c:ser>
          <c:idx val="1"/>
          <c:order val="1"/>
          <c:tx>
            <c:strRef>
              <c:f>Лист1!$C$1</c:f>
              <c:strCache>
                <c:ptCount val="1"/>
                <c:pt idx="0">
                  <c:v>по ЮЛ</c:v>
                </c:pt>
              </c:strCache>
            </c:strRef>
          </c:tx>
          <c:spPr>
            <a:solidFill>
              <a:schemeClr val="accent2">
                <a:lumMod val="40000"/>
                <a:lumOff val="60000"/>
              </a:schemeClr>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Лист1!$A$2:$A$13</c:f>
              <c:strCache>
                <c:ptCount val="12"/>
                <c:pt idx="0">
                  <c:v>Иркутская область</c:v>
                </c:pt>
                <c:pt idx="1">
                  <c:v>Забайкальский край</c:v>
                </c:pt>
                <c:pt idx="2">
                  <c:v>Новосибирская область</c:v>
                </c:pt>
                <c:pt idx="3">
                  <c:v>Красноярский край</c:v>
                </c:pt>
                <c:pt idx="4">
                  <c:v>Республика Хакасия</c:v>
                </c:pt>
                <c:pt idx="5">
                  <c:v>Омская область</c:v>
                </c:pt>
                <c:pt idx="6">
                  <c:v>Республика Бурятия</c:v>
                </c:pt>
                <c:pt idx="7">
                  <c:v>Алтайский край</c:v>
                </c:pt>
                <c:pt idx="8">
                  <c:v>Томская область</c:v>
                </c:pt>
                <c:pt idx="9">
                  <c:v>Кемеровская область</c:v>
                </c:pt>
                <c:pt idx="10">
                  <c:v>Республика Тыва</c:v>
                </c:pt>
                <c:pt idx="11">
                  <c:v>Республика Алтай</c:v>
                </c:pt>
              </c:strCache>
            </c:strRef>
          </c:cat>
          <c:val>
            <c:numRef>
              <c:f>Лист1!$C$2:$C$13</c:f>
              <c:numCache>
                <c:formatCode>#,##0</c:formatCode>
                <c:ptCount val="12"/>
                <c:pt idx="0">
                  <c:v>8263.567748691099</c:v>
                </c:pt>
                <c:pt idx="1">
                  <c:v>8472.2351926394476</c:v>
                </c:pt>
                <c:pt idx="2">
                  <c:v>7446.4583002955378</c:v>
                </c:pt>
                <c:pt idx="3">
                  <c:v>7456.174724292101</c:v>
                </c:pt>
                <c:pt idx="4">
                  <c:v>7234.6397396630937</c:v>
                </c:pt>
                <c:pt idx="5">
                  <c:v>7417.3820486531831</c:v>
                </c:pt>
                <c:pt idx="6">
                  <c:v>6357.2261061946901</c:v>
                </c:pt>
                <c:pt idx="7">
                  <c:v>7185.2294452005444</c:v>
                </c:pt>
                <c:pt idx="8">
                  <c:v>6752.634237726098</c:v>
                </c:pt>
                <c:pt idx="9">
                  <c:v>7007.2394987236021</c:v>
                </c:pt>
                <c:pt idx="10">
                  <c:v>5432.6485714285718</c:v>
                </c:pt>
                <c:pt idx="11">
                  <c:v>6691.3282312925166</c:v>
                </c:pt>
              </c:numCache>
            </c:numRef>
          </c:val>
          <c:extLst xmlns:c16r2="http://schemas.microsoft.com/office/drawing/2015/06/chart">
            <c:ext xmlns:c16="http://schemas.microsoft.com/office/drawing/2014/chart" uri="{C3380CC4-5D6E-409C-BE32-E72D297353CC}">
              <c16:uniqueId val="{00000000-8605-414A-87FE-119DFD0D55BE}"/>
            </c:ext>
          </c:extLst>
        </c:ser>
        <c:ser>
          <c:idx val="2"/>
          <c:order val="2"/>
          <c:tx>
            <c:strRef>
              <c:f>Лист1!$D$1</c:f>
              <c:strCache>
                <c:ptCount val="1"/>
                <c:pt idx="0">
                  <c:v>по ФЛ</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solidFill>
                <a:schemeClr val="accent3">
                  <a:lumMod val="7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effectLst/>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Лист1!$A$2:$A$13</c:f>
              <c:strCache>
                <c:ptCount val="12"/>
                <c:pt idx="0">
                  <c:v>Иркутская область</c:v>
                </c:pt>
                <c:pt idx="1">
                  <c:v>Забайкальский край</c:v>
                </c:pt>
                <c:pt idx="2">
                  <c:v>Новосибирская область</c:v>
                </c:pt>
                <c:pt idx="3">
                  <c:v>Красноярский край</c:v>
                </c:pt>
                <c:pt idx="4">
                  <c:v>Республика Хакасия</c:v>
                </c:pt>
                <c:pt idx="5">
                  <c:v>Омская область</c:v>
                </c:pt>
                <c:pt idx="6">
                  <c:v>Республика Бурятия</c:v>
                </c:pt>
                <c:pt idx="7">
                  <c:v>Алтайский край</c:v>
                </c:pt>
                <c:pt idx="8">
                  <c:v>Томская область</c:v>
                </c:pt>
                <c:pt idx="9">
                  <c:v>Кемеровская область</c:v>
                </c:pt>
                <c:pt idx="10">
                  <c:v>Республика Тыва</c:v>
                </c:pt>
                <c:pt idx="11">
                  <c:v>Республика Алтай</c:v>
                </c:pt>
              </c:strCache>
            </c:strRef>
          </c:cat>
          <c:val>
            <c:numRef>
              <c:f>Лист1!$D$2:$D$13</c:f>
              <c:numCache>
                <c:formatCode>#,##0</c:formatCode>
                <c:ptCount val="12"/>
                <c:pt idx="0">
                  <c:v>3506.7645443751853</c:v>
                </c:pt>
                <c:pt idx="1">
                  <c:v>3340.4506778868631</c:v>
                </c:pt>
                <c:pt idx="2">
                  <c:v>2985.1238867999209</c:v>
                </c:pt>
                <c:pt idx="3">
                  <c:v>3054.9458738439648</c:v>
                </c:pt>
                <c:pt idx="4">
                  <c:v>3690.9201221063345</c:v>
                </c:pt>
                <c:pt idx="5">
                  <c:v>3087.8754495699764</c:v>
                </c:pt>
                <c:pt idx="6">
                  <c:v>3757.8414757753903</c:v>
                </c:pt>
                <c:pt idx="7">
                  <c:v>2615.1738087871286</c:v>
                </c:pt>
                <c:pt idx="8">
                  <c:v>2680.3270887973022</c:v>
                </c:pt>
                <c:pt idx="9">
                  <c:v>2299.5817223198592</c:v>
                </c:pt>
                <c:pt idx="10">
                  <c:v>3508.2346109175378</c:v>
                </c:pt>
                <c:pt idx="11">
                  <c:v>1554.0574307304787</c:v>
                </c:pt>
              </c:numCache>
            </c:numRef>
          </c:val>
          <c:extLst xmlns:c16r2="http://schemas.microsoft.com/office/drawing/2015/06/chart">
            <c:ext xmlns:c16="http://schemas.microsoft.com/office/drawing/2014/chart" uri="{C3380CC4-5D6E-409C-BE32-E72D297353CC}">
              <c16:uniqueId val="{00000001-8605-414A-87FE-119DFD0D55BE}"/>
            </c:ext>
          </c:extLst>
        </c:ser>
        <c:dLbls>
          <c:showLegendKey val="0"/>
          <c:showVal val="1"/>
          <c:showCatName val="0"/>
          <c:showSerName val="0"/>
          <c:showPercent val="0"/>
          <c:showBubbleSize val="0"/>
        </c:dLbls>
        <c:gapWidth val="219"/>
        <c:overlap val="-27"/>
        <c:axId val="71078656"/>
        <c:axId val="71079808"/>
      </c:barChart>
      <c:lineChart>
        <c:grouping val="standard"/>
        <c:varyColors val="0"/>
        <c:ser>
          <c:idx val="0"/>
          <c:order val="0"/>
          <c:tx>
            <c:strRef>
              <c:f>Лист1!$B$1</c:f>
              <c:strCache>
                <c:ptCount val="1"/>
                <c:pt idx="0">
                  <c:v>в среднем</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effectLst>
                      <a:glow rad="101600">
                        <a:schemeClr val="bg1">
                          <a:alpha val="60000"/>
                        </a:schemeClr>
                      </a:glow>
                    </a:effectLst>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Лист1!$A$2:$A$13</c:f>
              <c:strCache>
                <c:ptCount val="12"/>
                <c:pt idx="0">
                  <c:v>Иркутская область</c:v>
                </c:pt>
                <c:pt idx="1">
                  <c:v>Забайкальский край</c:v>
                </c:pt>
                <c:pt idx="2">
                  <c:v>Новосибирская область</c:v>
                </c:pt>
                <c:pt idx="3">
                  <c:v>Красноярский край</c:v>
                </c:pt>
                <c:pt idx="4">
                  <c:v>Республика Хакасия</c:v>
                </c:pt>
                <c:pt idx="5">
                  <c:v>Омская область</c:v>
                </c:pt>
                <c:pt idx="6">
                  <c:v>Республика Бурятия</c:v>
                </c:pt>
                <c:pt idx="7">
                  <c:v>Алтайский край</c:v>
                </c:pt>
                <c:pt idx="8">
                  <c:v>Томская область</c:v>
                </c:pt>
                <c:pt idx="9">
                  <c:v>Кемеровская область</c:v>
                </c:pt>
                <c:pt idx="10">
                  <c:v>Республика Тыва</c:v>
                </c:pt>
                <c:pt idx="11">
                  <c:v>Республика Алтай</c:v>
                </c:pt>
              </c:strCache>
            </c:strRef>
          </c:cat>
          <c:val>
            <c:numRef>
              <c:f>Лист1!$B$2:$B$13</c:f>
              <c:numCache>
                <c:formatCode>#,##0</c:formatCode>
                <c:ptCount val="12"/>
                <c:pt idx="0">
                  <c:v>5957.7988921261822</c:v>
                </c:pt>
                <c:pt idx="1">
                  <c:v>5641.6815368746775</c:v>
                </c:pt>
                <c:pt idx="2">
                  <c:v>5566.2195254180742</c:v>
                </c:pt>
                <c:pt idx="3">
                  <c:v>5249.4770977617927</c:v>
                </c:pt>
                <c:pt idx="4">
                  <c:v>5105.591624637017</c:v>
                </c:pt>
                <c:pt idx="5">
                  <c:v>5062.9286534291423</c:v>
                </c:pt>
                <c:pt idx="6">
                  <c:v>5000.7504495927215</c:v>
                </c:pt>
                <c:pt idx="7">
                  <c:v>4860.9177386993979</c:v>
                </c:pt>
                <c:pt idx="8">
                  <c:v>4681.9564361465673</c:v>
                </c:pt>
                <c:pt idx="9">
                  <c:v>4588.860286649362</c:v>
                </c:pt>
                <c:pt idx="10">
                  <c:v>4371.2005124919924</c:v>
                </c:pt>
                <c:pt idx="11">
                  <c:v>3465.2976906042391</c:v>
                </c:pt>
              </c:numCache>
            </c:numRef>
          </c:val>
          <c:smooth val="0"/>
          <c:extLst xmlns:c16r2="http://schemas.microsoft.com/office/drawing/2015/06/chart">
            <c:ext xmlns:c16="http://schemas.microsoft.com/office/drawing/2014/chart" uri="{C3380CC4-5D6E-409C-BE32-E72D297353CC}">
              <c16:uniqueId val="{00000002-8605-414A-87FE-119DFD0D55BE}"/>
            </c:ext>
          </c:extLst>
        </c:ser>
        <c:dLbls>
          <c:showLegendKey val="0"/>
          <c:showVal val="1"/>
          <c:showCatName val="0"/>
          <c:showSerName val="0"/>
          <c:showPercent val="0"/>
          <c:showBubbleSize val="0"/>
        </c:dLbls>
        <c:marker val="1"/>
        <c:smooth val="0"/>
        <c:axId val="71078656"/>
        <c:axId val="71079808"/>
      </c:lineChart>
      <c:catAx>
        <c:axId val="71078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71079808"/>
        <c:crosses val="autoZero"/>
        <c:auto val="1"/>
        <c:lblAlgn val="ctr"/>
        <c:lblOffset val="100"/>
        <c:noMultiLvlLbl val="0"/>
      </c:catAx>
      <c:valAx>
        <c:axId val="71079808"/>
        <c:scaling>
          <c:orientation val="minMax"/>
        </c:scaling>
        <c:delete val="1"/>
        <c:axPos val="l"/>
        <c:numFmt formatCode="#,##0" sourceLinked="1"/>
        <c:majorTickMark val="none"/>
        <c:minorTickMark val="none"/>
        <c:tickLblPos val="nextTo"/>
        <c:crossAx val="7107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a:t>Информация о налоговых расходах бюджета</a:t>
            </a:r>
            <a:r>
              <a:rPr lang="ru-RU" baseline="0"/>
              <a:t> в результате предоставления дифференцируемых ставок по</a:t>
            </a:r>
            <a:r>
              <a:rPr lang="ru-RU"/>
              <a:t> УСН</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налоговые расходы, тыс. руб.</c:v>
                </c:pt>
              </c:strCache>
            </c:strRef>
          </c:tx>
          <c:spPr>
            <a:solidFill>
              <a:schemeClr val="accent2">
                <a:lumMod val="20000"/>
                <a:lumOff val="80000"/>
              </a:schemeClr>
            </a:solidFill>
            <a:ln w="9525" cap="flat" cmpd="sng" algn="ctr">
              <a:solidFill>
                <a:srgbClr val="C00000"/>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Лист1!$A$2:$A$4</c:f>
              <c:strCache>
                <c:ptCount val="3"/>
                <c:pt idx="0">
                  <c:v>2014 год</c:v>
                </c:pt>
                <c:pt idx="1">
                  <c:v>2015 год</c:v>
                </c:pt>
                <c:pt idx="2">
                  <c:v>2016 год</c:v>
                </c:pt>
              </c:strCache>
            </c:strRef>
          </c:cat>
          <c:val>
            <c:numRef>
              <c:f>Лист1!$B$2:$B$4</c:f>
              <c:numCache>
                <c:formatCode>#,##0</c:formatCode>
                <c:ptCount val="3"/>
                <c:pt idx="0">
                  <c:v>33763</c:v>
                </c:pt>
                <c:pt idx="1">
                  <c:v>47289</c:v>
                </c:pt>
                <c:pt idx="2">
                  <c:v>59959</c:v>
                </c:pt>
              </c:numCache>
            </c:numRef>
          </c:val>
          <c:extLst xmlns:c16r2="http://schemas.microsoft.com/office/drawing/2015/06/chart">
            <c:ext xmlns:c16="http://schemas.microsoft.com/office/drawing/2014/chart" uri="{C3380CC4-5D6E-409C-BE32-E72D297353CC}">
              <c16:uniqueId val="{00000000-DDEC-42E3-86B5-8CE0A58FDDF2}"/>
            </c:ext>
          </c:extLst>
        </c:ser>
        <c:dLbls>
          <c:showLegendKey val="0"/>
          <c:showVal val="0"/>
          <c:showCatName val="0"/>
          <c:showSerName val="0"/>
          <c:showPercent val="0"/>
          <c:showBubbleSize val="0"/>
        </c:dLbls>
        <c:gapWidth val="150"/>
        <c:axId val="80603776"/>
        <c:axId val="93528448"/>
      </c:barChart>
      <c:lineChart>
        <c:grouping val="standard"/>
        <c:varyColors val="0"/>
        <c:ser>
          <c:idx val="1"/>
          <c:order val="1"/>
          <c:tx>
            <c:strRef>
              <c:f>Лист1!$C$1</c:f>
              <c:strCache>
                <c:ptCount val="1"/>
                <c:pt idx="0">
                  <c:v>количество льготополучателей, ед.</c:v>
                </c:pt>
              </c:strCache>
            </c:strRef>
          </c:tx>
          <c:spPr>
            <a:ln w="15875" cap="rnd">
              <a:solidFill>
                <a:srgbClr val="0070C0"/>
              </a:solidFill>
              <a:round/>
            </a:ln>
            <a:effectLst>
              <a:outerShdw blurRad="40000" dist="20000" dir="5400000" rotWithShape="0">
                <a:srgbClr val="000000">
                  <a:alpha val="38000"/>
                </a:srgbClr>
              </a:outerShdw>
            </a:effectLst>
          </c:spPr>
          <c:marker>
            <c:symbol val="none"/>
          </c:marker>
          <c:dLbls>
            <c:dLbl>
              <c:idx val="0"/>
              <c:layout>
                <c:manualLayout>
                  <c:x val="-2.5848142164781925E-2"/>
                  <c:y val="-7.14285714285714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DDEC-42E3-86B5-8CE0A58FDDF2}"/>
                </c:ext>
              </c:extLst>
            </c:dLbl>
            <c:dLbl>
              <c:idx val="1"/>
              <c:layout>
                <c:manualLayout>
                  <c:x val="-3.2310177705977459E-2"/>
                  <c:y val="-5.55555555555555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DDEC-42E3-86B5-8CE0A58FDDF2}"/>
                </c:ext>
              </c:extLst>
            </c:dLbl>
            <c:dLbl>
              <c:idx val="2"/>
              <c:layout>
                <c:manualLayout>
                  <c:x val="-3.2310177705977543E-2"/>
                  <c:y val="3.57142857142856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DDEC-42E3-86B5-8CE0A58FDDF2}"/>
                </c:ext>
              </c:extLst>
            </c:dLbl>
            <c:spPr>
              <a:solidFill>
                <a:sysClr val="window" lastClr="FFFFFF"/>
              </a:solidFill>
              <a:ln>
                <a:solidFill>
                  <a:srgbClr val="0070C0"/>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Лист1!$A$2:$A$4</c:f>
              <c:strCache>
                <c:ptCount val="3"/>
                <c:pt idx="0">
                  <c:v>2014 год</c:v>
                </c:pt>
                <c:pt idx="1">
                  <c:v>2015 год</c:v>
                </c:pt>
                <c:pt idx="2">
                  <c:v>2016 год</c:v>
                </c:pt>
              </c:strCache>
            </c:strRef>
          </c:cat>
          <c:val>
            <c:numRef>
              <c:f>Лист1!$C$2:$C$4</c:f>
              <c:numCache>
                <c:formatCode>#,##0</c:formatCode>
                <c:ptCount val="3"/>
                <c:pt idx="0">
                  <c:v>180</c:v>
                </c:pt>
                <c:pt idx="1">
                  <c:v>239</c:v>
                </c:pt>
                <c:pt idx="2">
                  <c:v>240</c:v>
                </c:pt>
              </c:numCache>
            </c:numRef>
          </c:val>
          <c:smooth val="0"/>
          <c:extLst xmlns:c16r2="http://schemas.microsoft.com/office/drawing/2015/06/chart">
            <c:ext xmlns:c16="http://schemas.microsoft.com/office/drawing/2014/chart" uri="{C3380CC4-5D6E-409C-BE32-E72D297353CC}">
              <c16:uniqueId val="{00000004-DDEC-42E3-86B5-8CE0A58FDDF2}"/>
            </c:ext>
          </c:extLst>
        </c:ser>
        <c:dLbls>
          <c:showLegendKey val="0"/>
          <c:showVal val="0"/>
          <c:showCatName val="0"/>
          <c:showSerName val="0"/>
          <c:showPercent val="0"/>
          <c:showBubbleSize val="0"/>
        </c:dLbls>
        <c:marker val="1"/>
        <c:smooth val="0"/>
        <c:axId val="93531520"/>
        <c:axId val="93529984"/>
      </c:lineChart>
      <c:catAx>
        <c:axId val="8060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93528448"/>
        <c:crosses val="autoZero"/>
        <c:auto val="1"/>
        <c:lblAlgn val="ctr"/>
        <c:lblOffset val="100"/>
        <c:noMultiLvlLbl val="0"/>
      </c:catAx>
      <c:valAx>
        <c:axId val="9352844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mn-lt"/>
                <a:ea typeface="+mn-ea"/>
                <a:cs typeface="+mn-cs"/>
              </a:defRPr>
            </a:pPr>
            <a:endParaRPr lang="ru-RU"/>
          </a:p>
        </c:txPr>
        <c:crossAx val="80603776"/>
        <c:crosses val="autoZero"/>
        <c:crossBetween val="between"/>
      </c:valAx>
      <c:valAx>
        <c:axId val="9352998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mn-lt"/>
                <a:ea typeface="+mn-ea"/>
                <a:cs typeface="+mn-cs"/>
              </a:defRPr>
            </a:pPr>
            <a:endParaRPr lang="ru-RU"/>
          </a:p>
        </c:txPr>
        <c:crossAx val="93531520"/>
        <c:crosses val="max"/>
        <c:crossBetween val="between"/>
      </c:valAx>
      <c:catAx>
        <c:axId val="93531520"/>
        <c:scaling>
          <c:orientation val="minMax"/>
        </c:scaling>
        <c:delete val="1"/>
        <c:axPos val="b"/>
        <c:numFmt formatCode="General" sourceLinked="1"/>
        <c:majorTickMark val="none"/>
        <c:minorTickMark val="none"/>
        <c:tickLblPos val="nextTo"/>
        <c:crossAx val="935299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chemeClr val="bg1">
                    <a:lumMod val="50000"/>
                  </a:schemeClr>
                </a:solidFill>
                <a:latin typeface="+mn-lt"/>
                <a:ea typeface="+mn-ea"/>
                <a:cs typeface="+mn-cs"/>
              </a:defRPr>
            </a:pPr>
            <a:r>
              <a:rPr lang="ru-RU" sz="1400" b="0">
                <a:solidFill>
                  <a:schemeClr val="bg1">
                    <a:lumMod val="50000"/>
                  </a:schemeClr>
                </a:solidFill>
              </a:rPr>
              <a:t>Мобилизовано НДФЛ с иностранных работников по патенту в консолидированные бюджеты регионов СФО (млн рублей)</a:t>
            </a:r>
          </a:p>
        </c:rich>
      </c:tx>
      <c:layout/>
      <c:overlay val="0"/>
      <c:spPr>
        <a:noFill/>
        <a:ln>
          <a:noFill/>
        </a:ln>
        <a:effectLst/>
      </c:spPr>
    </c:title>
    <c:autoTitleDeleted val="0"/>
    <c:plotArea>
      <c:layout/>
      <c:barChart>
        <c:barDir val="col"/>
        <c:grouping val="stacked"/>
        <c:varyColors val="0"/>
        <c:ser>
          <c:idx val="0"/>
          <c:order val="0"/>
          <c:tx>
            <c:strRef>
              <c:f>Лист1!$B$1</c:f>
              <c:strCache>
                <c:ptCount val="1"/>
                <c:pt idx="0">
                  <c:v>по ФЛ</c:v>
                </c:pt>
              </c:strCache>
            </c:strRef>
          </c:tx>
          <c:spPr>
            <a:solidFill>
              <a:schemeClr val="accent3">
                <a:lumMod val="60000"/>
                <a:lumOff val="40000"/>
              </a:schemeClr>
            </a:solidFill>
            <a:ln>
              <a:solidFill>
                <a:srgbClr val="00B050"/>
              </a:solid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50000"/>
                      </a:schemeClr>
                    </a:solidFill>
                    <a:effectLst>
                      <a:glow rad="101600">
                        <a:schemeClr val="bg1">
                          <a:alpha val="60000"/>
                        </a:schemeClr>
                      </a:glow>
                    </a:effectLst>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Лист1!$A$2:$A$13</c:f>
              <c:strCache>
                <c:ptCount val="12"/>
                <c:pt idx="0">
                  <c:v>Иркутская область</c:v>
                </c:pt>
                <c:pt idx="1">
                  <c:v>Новосибирская область</c:v>
                </c:pt>
                <c:pt idx="2">
                  <c:v>Красноярскый край</c:v>
                </c:pt>
                <c:pt idx="3">
                  <c:v>Кемеровская область</c:v>
                </c:pt>
                <c:pt idx="4">
                  <c:v>Забайкальский край</c:v>
                </c:pt>
                <c:pt idx="5">
                  <c:v>Томская область</c:v>
                </c:pt>
                <c:pt idx="6">
                  <c:v>Омская область</c:v>
                </c:pt>
                <c:pt idx="7">
                  <c:v>Алтайский край</c:v>
                </c:pt>
                <c:pt idx="8">
                  <c:v>Республика Бурятия</c:v>
                </c:pt>
                <c:pt idx="9">
                  <c:v>Республика Хакасия</c:v>
                </c:pt>
                <c:pt idx="10">
                  <c:v>Республика Алтай</c:v>
                </c:pt>
                <c:pt idx="11">
                  <c:v>Республика Тыва</c:v>
                </c:pt>
              </c:strCache>
            </c:strRef>
          </c:cat>
          <c:val>
            <c:numRef>
              <c:f>Лист1!$B$2:$B$13</c:f>
              <c:numCache>
                <c:formatCode>#,##0.0</c:formatCode>
                <c:ptCount val="12"/>
                <c:pt idx="0">
                  <c:v>712.28963529999999</c:v>
                </c:pt>
                <c:pt idx="1">
                  <c:v>611.28863679999995</c:v>
                </c:pt>
                <c:pt idx="2">
                  <c:v>373.80253960000005</c:v>
                </c:pt>
                <c:pt idx="3">
                  <c:v>122.8368686</c:v>
                </c:pt>
                <c:pt idx="4">
                  <c:v>118.45962179999999</c:v>
                </c:pt>
                <c:pt idx="5">
                  <c:v>91.89288280000001</c:v>
                </c:pt>
                <c:pt idx="6">
                  <c:v>86.206201100000001</c:v>
                </c:pt>
                <c:pt idx="7">
                  <c:v>84.896840400000002</c:v>
                </c:pt>
                <c:pt idx="8">
                  <c:v>34.557523000000003</c:v>
                </c:pt>
                <c:pt idx="9">
                  <c:v>27.850242399999999</c:v>
                </c:pt>
                <c:pt idx="10">
                  <c:v>14.233235500000001</c:v>
                </c:pt>
                <c:pt idx="11">
                  <c:v>3.4966810000000002</c:v>
                </c:pt>
              </c:numCache>
            </c:numRef>
          </c:val>
          <c:extLst xmlns:c16r2="http://schemas.microsoft.com/office/drawing/2015/06/chart">
            <c:ext xmlns:c16="http://schemas.microsoft.com/office/drawing/2014/chart" uri="{C3380CC4-5D6E-409C-BE32-E72D297353CC}">
              <c16:uniqueId val="{00000000-ED66-469E-B68B-7C7F7D3D5135}"/>
            </c:ext>
          </c:extLst>
        </c:ser>
        <c:dLbls>
          <c:showLegendKey val="0"/>
          <c:showVal val="1"/>
          <c:showCatName val="0"/>
          <c:showSerName val="0"/>
          <c:showPercent val="0"/>
          <c:showBubbleSize val="0"/>
        </c:dLbls>
        <c:gapWidth val="150"/>
        <c:overlap val="100"/>
        <c:axId val="93539328"/>
        <c:axId val="93542272"/>
      </c:barChart>
      <c:catAx>
        <c:axId val="93539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ru-RU"/>
          </a:p>
        </c:txPr>
        <c:crossAx val="93542272"/>
        <c:crosses val="autoZero"/>
        <c:auto val="1"/>
        <c:lblAlgn val="ctr"/>
        <c:lblOffset val="100"/>
        <c:noMultiLvlLbl val="0"/>
      </c:catAx>
      <c:valAx>
        <c:axId val="93542272"/>
        <c:scaling>
          <c:orientation val="minMax"/>
        </c:scaling>
        <c:delete val="1"/>
        <c:axPos val="l"/>
        <c:numFmt formatCode="#,##0.0" sourceLinked="1"/>
        <c:majorTickMark val="none"/>
        <c:minorTickMark val="none"/>
        <c:tickLblPos val="nextTo"/>
        <c:crossAx val="935393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dirty="0"/>
              <a:t>Позиции</a:t>
            </a:r>
            <a:r>
              <a:rPr lang="ru-RU" sz="1200" baseline="0" dirty="0"/>
              <a:t> Иркутской области по темпам роста основных доходов консолидированного бюджета</a:t>
            </a:r>
            <a:endParaRPr lang="ru-RU" sz="1200" dirty="0"/>
          </a:p>
        </c:rich>
      </c:tx>
      <c:overlay val="0"/>
      <c:spPr>
        <a:noFill/>
        <a:ln>
          <a:noFill/>
        </a:ln>
        <a:effectLst/>
      </c:spPr>
    </c:title>
    <c:autoTitleDeleted val="0"/>
    <c:plotArea>
      <c:layout/>
      <c:barChart>
        <c:barDir val="col"/>
        <c:grouping val="stacked"/>
        <c:varyColors val="0"/>
        <c:ser>
          <c:idx val="0"/>
          <c:order val="0"/>
          <c:tx>
            <c:strRef>
              <c:f>Лист1!$B$1</c:f>
              <c:strCache>
                <c:ptCount val="1"/>
                <c:pt idx="0">
                  <c:v>прирост в %</c:v>
                </c:pt>
              </c:strCache>
            </c:strRef>
          </c:tx>
          <c:spPr>
            <a:solidFill>
              <a:schemeClr val="accent3">
                <a:lumMod val="60000"/>
                <a:lumOff val="40000"/>
              </a:schemeClr>
            </a:solidFill>
            <a:ln>
              <a:solidFill>
                <a:srgbClr val="00B050"/>
              </a:solidFill>
            </a:ln>
            <a:effectLst/>
          </c:spPr>
          <c:invertIfNegative val="0"/>
          <c:dLbls>
            <c:dLbl>
              <c:idx val="0"/>
              <c:layout>
                <c:manualLayout>
                  <c:x val="0"/>
                  <c:y val="-0.22617960686322935"/>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D34-4FE0-B17A-E2A9F002FD9A}"/>
                </c:ext>
              </c:extLst>
            </c:dLbl>
            <c:dLbl>
              <c:idx val="1"/>
              <c:layout>
                <c:manualLayout>
                  <c:x val="5.5836693060861654E-3"/>
                  <c:y val="-0.12113971551161716"/>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D34-4FE0-B17A-E2A9F002FD9A}"/>
                </c:ext>
              </c:extLst>
            </c:dLbl>
            <c:dLbl>
              <c:idx val="2"/>
              <c:layout>
                <c:manualLayout>
                  <c:x val="3.7224462040574662E-3"/>
                  <c:y val="-0.1157746046259125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6D34-4FE0-B17A-E2A9F002FD9A}"/>
                </c:ext>
              </c:extLst>
            </c:dLbl>
            <c:dLbl>
              <c:idx val="3"/>
              <c:spPr>
                <a:noFill/>
                <a:ln>
                  <a:noFill/>
                </a:ln>
                <a:effectLst>
                  <a:glow rad="101600">
                    <a:srgbClr val="5B9BD5">
                      <a:alpha val="60000"/>
                    </a:srgbClr>
                  </a:glow>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70C0"/>
                      </a:solidFill>
                      <a:effectLst>
                        <a:glow rad="101600">
                          <a:schemeClr val="bg1">
                            <a:alpha val="60000"/>
                          </a:schemeClr>
                        </a:glow>
                      </a:effectLst>
                      <a:latin typeface="+mn-lt"/>
                      <a:ea typeface="+mn-ea"/>
                      <a:cs typeface="+mn-cs"/>
                    </a:defRPr>
                  </a:pPr>
                  <a:endParaRPr lang="ru-RU"/>
                </a:p>
              </c:txPr>
              <c:dLblPos val="inEnd"/>
              <c:showLegendKey val="0"/>
              <c:showVal val="1"/>
              <c:showCatName val="0"/>
              <c:showSerName val="0"/>
              <c:showPercent val="0"/>
              <c:showBubbleSize val="0"/>
            </c:dLbl>
            <c:dLbl>
              <c:idx val="7"/>
              <c:layout>
                <c:manualLayout>
                  <c:x val="3.7224462040574662E-3"/>
                  <c:y val="4.30795248367787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effectLst>
                        <a:glow rad="101600">
                          <a:schemeClr val="bg1">
                            <a:alpha val="60000"/>
                          </a:schemeClr>
                        </a:glow>
                      </a:effectLst>
                      <a:latin typeface="+mn-lt"/>
                      <a:ea typeface="+mn-ea"/>
                      <a:cs typeface="+mn-cs"/>
                    </a:defRPr>
                  </a:pPr>
                  <a:endParaRPr lang="ru-RU"/>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6D34-4FE0-B17A-E2A9F002FD9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70C0"/>
                    </a:solidFill>
                    <a:effectLst>
                      <a:glow rad="101600">
                        <a:schemeClr val="bg1">
                          <a:alpha val="60000"/>
                        </a:schemeClr>
                      </a:glow>
                    </a:effectLst>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налог на прибыль</c:v>
                </c:pt>
                <c:pt idx="1">
                  <c:v>земельный налог</c:v>
                </c:pt>
                <c:pt idx="2">
                  <c:v>НДПИ</c:v>
                </c:pt>
                <c:pt idx="3">
                  <c:v>УСН</c:v>
                </c:pt>
                <c:pt idx="4">
                  <c:v>НДФЛ</c:v>
                </c:pt>
                <c:pt idx="5">
                  <c:v>налог на имущество организаций</c:v>
                </c:pt>
                <c:pt idx="6">
                  <c:v>налог на имущество ФЛ</c:v>
                </c:pt>
                <c:pt idx="7">
                  <c:v>ЕНВД</c:v>
                </c:pt>
              </c:strCache>
            </c:strRef>
          </c:cat>
          <c:val>
            <c:numRef>
              <c:f>Лист1!$B$2:$B$9</c:f>
              <c:numCache>
                <c:formatCode>0.0%</c:formatCode>
                <c:ptCount val="8"/>
                <c:pt idx="0">
                  <c:v>0.48499999999999999</c:v>
                </c:pt>
                <c:pt idx="1">
                  <c:v>0.189</c:v>
                </c:pt>
                <c:pt idx="2">
                  <c:v>0.184</c:v>
                </c:pt>
                <c:pt idx="3">
                  <c:v>0.14299999999999999</c:v>
                </c:pt>
                <c:pt idx="4">
                  <c:v>0.105</c:v>
                </c:pt>
                <c:pt idx="5">
                  <c:v>0.10199999999999999</c:v>
                </c:pt>
                <c:pt idx="6">
                  <c:v>0.10199999999999999</c:v>
                </c:pt>
                <c:pt idx="7">
                  <c:v>-3.5999999999999997E-2</c:v>
                </c:pt>
              </c:numCache>
            </c:numRef>
          </c:val>
          <c:extLst xmlns:c16r2="http://schemas.microsoft.com/office/drawing/2015/06/chart">
            <c:ext xmlns:c16="http://schemas.microsoft.com/office/drawing/2014/chart" uri="{C3380CC4-5D6E-409C-BE32-E72D297353CC}">
              <c16:uniqueId val="{00000005-6D34-4FE0-B17A-E2A9F002FD9A}"/>
            </c:ext>
          </c:extLst>
        </c:ser>
        <c:dLbls>
          <c:showLegendKey val="0"/>
          <c:showVal val="0"/>
          <c:showCatName val="0"/>
          <c:showSerName val="0"/>
          <c:showPercent val="0"/>
          <c:showBubbleSize val="0"/>
        </c:dLbls>
        <c:gapWidth val="150"/>
        <c:overlap val="100"/>
        <c:axId val="112271360"/>
        <c:axId val="112272896"/>
      </c:barChart>
      <c:lineChart>
        <c:grouping val="stacked"/>
        <c:varyColors val="0"/>
        <c:ser>
          <c:idx val="1"/>
          <c:order val="1"/>
          <c:tx>
            <c:strRef>
              <c:f>Лист1!$C$1</c:f>
              <c:strCache>
                <c:ptCount val="1"/>
                <c:pt idx="0">
                  <c:v>место в РФ по темпу роста</c:v>
                </c:pt>
              </c:strCache>
            </c:strRef>
          </c:tx>
          <c:spPr>
            <a:ln w="28575" cap="rnd">
              <a:solidFill>
                <a:srgbClr val="0070C0"/>
              </a:solidFill>
              <a:round/>
            </a:ln>
            <a:effectLst/>
          </c:spPr>
          <c:marker>
            <c:symbol val="circle"/>
            <c:size val="5"/>
            <c:spPr>
              <a:solidFill>
                <a:schemeClr val="accent2"/>
              </a:solidFill>
              <a:ln w="9525">
                <a:solidFill>
                  <a:srgbClr val="0070C0"/>
                </a:solidFill>
              </a:ln>
              <a:effectLst/>
            </c:spPr>
          </c:marker>
          <c:dLbls>
            <c:spPr>
              <a:solidFill>
                <a:prstClr val="white"/>
              </a:solidFill>
              <a:ln>
                <a:solidFill>
                  <a:srgbClr val="1F497D">
                    <a:lumMod val="75000"/>
                  </a:srgbClr>
                </a:solidFill>
              </a:ln>
              <a:effectLst/>
            </c:spPr>
            <c:txPr>
              <a:bodyPr rot="0" spcFirstLastPara="1" vertOverflow="clip" horzOverflow="clip" vert="horz" wrap="square" lIns="38100" tIns="19050" rIns="38100" bIns="19050" anchor="ctr" anchorCtr="1">
                <a:spAutoFit/>
              </a:bodyPr>
              <a:lstStyle/>
              <a:p>
                <a:pPr>
                  <a:defRPr sz="1197"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15:showLeaderLines val="0"/>
              </c:ext>
            </c:extLst>
          </c:dLbls>
          <c:cat>
            <c:strRef>
              <c:f>Лист1!$A$2:$A$9</c:f>
              <c:strCache>
                <c:ptCount val="8"/>
                <c:pt idx="0">
                  <c:v>налог на прибыль</c:v>
                </c:pt>
                <c:pt idx="1">
                  <c:v>земельный налог</c:v>
                </c:pt>
                <c:pt idx="2">
                  <c:v>НДПИ</c:v>
                </c:pt>
                <c:pt idx="3">
                  <c:v>УСН</c:v>
                </c:pt>
                <c:pt idx="4">
                  <c:v>НДФЛ</c:v>
                </c:pt>
                <c:pt idx="5">
                  <c:v>налог на имущество организаций</c:v>
                </c:pt>
                <c:pt idx="6">
                  <c:v>налог на имущество ФЛ</c:v>
                </c:pt>
                <c:pt idx="7">
                  <c:v>ЕНВД</c:v>
                </c:pt>
              </c:strCache>
            </c:strRef>
          </c:cat>
          <c:val>
            <c:numRef>
              <c:f>Лист1!$C$2:$C$9</c:f>
              <c:numCache>
                <c:formatCode>#,##0</c:formatCode>
                <c:ptCount val="8"/>
                <c:pt idx="0">
                  <c:v>16</c:v>
                </c:pt>
                <c:pt idx="1">
                  <c:v>5</c:v>
                </c:pt>
                <c:pt idx="2">
                  <c:v>20</c:v>
                </c:pt>
                <c:pt idx="3">
                  <c:v>14</c:v>
                </c:pt>
                <c:pt idx="4">
                  <c:v>11</c:v>
                </c:pt>
                <c:pt idx="5">
                  <c:v>28</c:v>
                </c:pt>
                <c:pt idx="6">
                  <c:v>28</c:v>
                </c:pt>
                <c:pt idx="7">
                  <c:v>23</c:v>
                </c:pt>
              </c:numCache>
            </c:numRef>
          </c:val>
          <c:smooth val="0"/>
          <c:extLst xmlns:c16r2="http://schemas.microsoft.com/office/drawing/2015/06/chart">
            <c:ext xmlns:c16="http://schemas.microsoft.com/office/drawing/2014/chart" uri="{C3380CC4-5D6E-409C-BE32-E72D297353CC}">
              <c16:uniqueId val="{00000006-6D34-4FE0-B17A-E2A9F002FD9A}"/>
            </c:ext>
          </c:extLst>
        </c:ser>
        <c:dLbls>
          <c:showLegendKey val="0"/>
          <c:showVal val="0"/>
          <c:showCatName val="0"/>
          <c:showSerName val="0"/>
          <c:showPercent val="0"/>
          <c:showBubbleSize val="0"/>
        </c:dLbls>
        <c:marker val="1"/>
        <c:smooth val="0"/>
        <c:axId val="112276224"/>
        <c:axId val="112274432"/>
      </c:lineChart>
      <c:catAx>
        <c:axId val="11227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112272896"/>
        <c:crosses val="autoZero"/>
        <c:auto val="1"/>
        <c:lblAlgn val="ctr"/>
        <c:lblOffset val="100"/>
        <c:noMultiLvlLbl val="0"/>
      </c:catAx>
      <c:valAx>
        <c:axId val="11227289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rgbClr val="DDDDDD"/>
                </a:solidFill>
                <a:latin typeface="+mn-lt"/>
                <a:ea typeface="+mn-ea"/>
                <a:cs typeface="+mn-cs"/>
              </a:defRPr>
            </a:pPr>
            <a:endParaRPr lang="ru-RU"/>
          </a:p>
        </c:txPr>
        <c:crossAx val="112271360"/>
        <c:crosses val="autoZero"/>
        <c:crossBetween val="between"/>
      </c:valAx>
      <c:valAx>
        <c:axId val="11227443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rgbClr val="DDDDDD"/>
                </a:solidFill>
                <a:latin typeface="+mn-lt"/>
                <a:ea typeface="+mn-ea"/>
                <a:cs typeface="+mn-cs"/>
              </a:defRPr>
            </a:pPr>
            <a:endParaRPr lang="ru-RU"/>
          </a:p>
        </c:txPr>
        <c:crossAx val="112276224"/>
        <c:crosses val="max"/>
        <c:crossBetween val="between"/>
      </c:valAx>
      <c:catAx>
        <c:axId val="112276224"/>
        <c:scaling>
          <c:orientation val="minMax"/>
        </c:scaling>
        <c:delete val="1"/>
        <c:axPos val="b"/>
        <c:numFmt formatCode="General" sourceLinked="1"/>
        <c:majorTickMark val="out"/>
        <c:minorTickMark val="none"/>
        <c:tickLblPos val="nextTo"/>
        <c:crossAx val="1122744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pie"/>
        <c:varyColors val="1"/>
        <c:ser>
          <c:idx val="0"/>
          <c:order val="0"/>
          <c:tx>
            <c:strRef>
              <c:f>Лист1!$B$1</c:f>
              <c:strCache>
                <c:ptCount val="1"/>
                <c:pt idx="0">
                  <c:v>Продажи</c:v>
                </c:pt>
              </c:strCache>
            </c:strRef>
          </c:tx>
          <c:dPt>
            <c:idx val="0"/>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2C30-4E93-9C40-6060DAAC79E9}"/>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2C30-4E93-9C40-6060DAAC79E9}"/>
              </c:ext>
            </c:extLst>
          </c:dPt>
          <c:dPt>
            <c:idx val="2"/>
            <c:bubble3D val="0"/>
            <c:spPr>
              <a:solidFill>
                <a:schemeClr val="tx2">
                  <a:lumMod val="25000"/>
                  <a:lumOff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2C30-4E93-9C40-6060DAAC79E9}"/>
              </c:ext>
            </c:extLst>
          </c:dPt>
          <c:dPt>
            <c:idx val="3"/>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7-2C30-4E93-9C40-6060DAAC79E9}"/>
              </c:ext>
            </c:extLst>
          </c:dPt>
          <c:dPt>
            <c:idx val="4"/>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9-2C30-4E93-9C40-6060DAAC79E9}"/>
              </c:ext>
            </c:extLst>
          </c:dPt>
          <c:dLbls>
            <c:dLbl>
              <c:idx val="0"/>
              <c:tx>
                <c:rich>
                  <a:bodyPr/>
                  <a:lstStyle/>
                  <a:p>
                    <a:fld id="{81371BEB-A578-49DC-98F0-CB3A04F9AB3A}" type="VALUE">
                      <a:rPr lang="ru-RU"/>
                      <a:pPr/>
                      <a:t>[ЗНАЧЕНИЕ]</a:t>
                    </a:fld>
                    <a:endParaRPr lang="ru-RU" baseline="0" dirty="0"/>
                  </a:p>
                  <a:p>
                    <a:fld id="{30378938-B92A-477A-BFC7-6EA65B00D8D9}" type="PERCENTAGE">
                      <a:rPr lang="ru-RU" smtClean="0"/>
                      <a:pPr/>
                      <a:t>[ПРОЦЕНТ]</a:t>
                    </a:fld>
                    <a:endParaRPr lang="ru-RU" dirty="0"/>
                  </a:p>
                  <a:p>
                    <a:r>
                      <a:rPr lang="ru-RU" sz="800" i="1" dirty="0"/>
                      <a:t>*региональная льгота</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2C30-4E93-9C40-6060DAAC79E9}"/>
                </c:ext>
              </c:extLst>
            </c:dLbl>
            <c:dLbl>
              <c:idx val="3"/>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effectLst/>
                      <a:latin typeface="+mn-lt"/>
                      <a:ea typeface="+mn-ea"/>
                      <a:cs typeface="+mn-cs"/>
                    </a:defRPr>
                  </a:pPr>
                  <a:endParaRPr lang="ru-RU"/>
                </a:p>
              </c:txPr>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2C30-4E93-9C40-6060DAAC79E9}"/>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65000"/>
                        <a:lumOff val="35000"/>
                      </a:schemeClr>
                    </a:solidFill>
                    <a:effectLst>
                      <a:glow rad="101600">
                        <a:schemeClr val="bg1">
                          <a:alpha val="60000"/>
                        </a:schemeClr>
                      </a:glow>
                    </a:effectLst>
                    <a:latin typeface="+mn-lt"/>
                    <a:ea typeface="+mn-ea"/>
                    <a:cs typeface="+mn-cs"/>
                  </a:defRPr>
                </a:pPr>
                <a:endParaRPr lang="ru-RU"/>
              </a:p>
            </c:txPr>
            <c:dLblPos val="ct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Налог на прибыль</c:v>
                </c:pt>
                <c:pt idx="1">
                  <c:v>Налог на имущество</c:v>
                </c:pt>
                <c:pt idx="2">
                  <c:v>Региональные льготы</c:v>
                </c:pt>
                <c:pt idx="3">
                  <c:v>Федеральные льготы</c:v>
                </c:pt>
              </c:strCache>
            </c:strRef>
          </c:cat>
          <c:val>
            <c:numRef>
              <c:f>Лист1!$B$2:$B$5</c:f>
              <c:numCache>
                <c:formatCode>General</c:formatCode>
                <c:ptCount val="4"/>
                <c:pt idx="0" formatCode="#,##0">
                  <c:v>4335</c:v>
                </c:pt>
                <c:pt idx="2" formatCode="#,##0">
                  <c:v>1522</c:v>
                </c:pt>
                <c:pt idx="3" formatCode="#,##0">
                  <c:v>5709</c:v>
                </c:pt>
              </c:numCache>
            </c:numRef>
          </c:val>
          <c:extLst xmlns:c16r2="http://schemas.microsoft.com/office/drawing/2015/06/chart">
            <c:ext xmlns:c16="http://schemas.microsoft.com/office/drawing/2014/chart" uri="{C3380CC4-5D6E-409C-BE32-E72D297353CC}">
              <c16:uniqueId val="{0000000A-2C30-4E93-9C40-6060DAAC79E9}"/>
            </c:ext>
          </c:extLst>
        </c:ser>
        <c:dLbls>
          <c:dLblPos val="bestFit"/>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376354398007944"/>
          <c:y val="7.9365079365079361E-3"/>
          <c:w val="0.40238744195437109"/>
          <c:h val="0.74729096362954628"/>
        </c:manualLayout>
      </c:layout>
      <c:pieChart>
        <c:varyColors val="1"/>
        <c:ser>
          <c:idx val="0"/>
          <c:order val="0"/>
          <c:tx>
            <c:strRef>
              <c:f>Лист1!$B$1</c:f>
              <c:strCache>
                <c:ptCount val="1"/>
                <c:pt idx="0">
                  <c:v>Продажи</c:v>
                </c:pt>
              </c:strCache>
            </c:strRef>
          </c:tx>
          <c:dPt>
            <c:idx val="0"/>
            <c:bubble3D val="0"/>
            <c:spPr>
              <a:solidFill>
                <a:schemeClr val="tx2">
                  <a:lumMod val="75000"/>
                  <a:lumOff val="2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DA3F-4CF3-A9B2-29E4B5BABBEB}"/>
              </c:ext>
            </c:extLst>
          </c:dPt>
          <c:dPt>
            <c:idx val="1"/>
            <c:bubble3D val="0"/>
            <c:spPr>
              <a:solidFill>
                <a:schemeClr val="accent6">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DA3F-4CF3-A9B2-29E4B5BABBEB}"/>
              </c:ext>
            </c:extLst>
          </c:dPt>
          <c:dPt>
            <c:idx val="2"/>
            <c:bubble3D val="0"/>
            <c:spPr>
              <a:solidFill>
                <a:srgbClr val="FF6600"/>
              </a:solidFill>
              <a:ln w="19050">
                <a:solidFill>
                  <a:schemeClr val="lt1"/>
                </a:solidFill>
              </a:ln>
              <a:effectLst/>
            </c:spPr>
            <c:extLst xmlns:c16r2="http://schemas.microsoft.com/office/drawing/2015/06/chart">
              <c:ext xmlns:c16="http://schemas.microsoft.com/office/drawing/2014/chart" uri="{C3380CC4-5D6E-409C-BE32-E72D297353CC}">
                <c16:uniqueId val="{00000005-DA3F-4CF3-A9B2-29E4B5BABBE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A3F-4CF3-A9B2-29E4B5BABBEB}"/>
              </c:ext>
            </c:extLst>
          </c:dPt>
          <c:dLbls>
            <c:dLbl>
              <c:idx val="0"/>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DA3F-4CF3-A9B2-29E4B5BABBEB}"/>
                </c:ext>
              </c:extLst>
            </c:dLbl>
            <c:dLbl>
              <c:idx val="1"/>
              <c:layout>
                <c:manualLayout>
                  <c:x val="9.0974413426743103E-2"/>
                  <c:y val="0.17568460040817671"/>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effectLst>
                        <a:glow rad="101600">
                          <a:schemeClr val="bg1">
                            <a:alpha val="60000"/>
                          </a:schemeClr>
                        </a:glow>
                      </a:effectLst>
                      <a:latin typeface="+mn-lt"/>
                      <a:ea typeface="+mn-ea"/>
                      <a:cs typeface="+mn-cs"/>
                    </a:defRPr>
                  </a:pPr>
                  <a:endParaRPr lang="ru-RU"/>
                </a:p>
              </c:txPr>
              <c:dLblPos val="bestFit"/>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DA3F-4CF3-A9B2-29E4B5BABBEB}"/>
                </c:ext>
              </c:extLst>
            </c:dLbl>
            <c:dLbl>
              <c:idx val="2"/>
              <c:layout>
                <c:manualLayout>
                  <c:x val="-8.4612019651389729E-4"/>
                  <c:y val="-8.440507436570429E-3"/>
                </c:manualLayout>
              </c:layout>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effectLst>
                        <a:glow rad="101600">
                          <a:schemeClr val="bg1">
                            <a:alpha val="60000"/>
                          </a:schemeClr>
                        </a:glow>
                      </a:effectLst>
                      <a:latin typeface="+mn-lt"/>
                      <a:ea typeface="+mn-ea"/>
                      <a:cs typeface="+mn-cs"/>
                    </a:defRPr>
                  </a:pPr>
                  <a:endParaRPr lang="ru-RU"/>
                </a:p>
              </c:txPr>
              <c:dLblPos val="bestFit"/>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DA3F-4CF3-A9B2-29E4B5BABBEB}"/>
                </c:ext>
              </c:extLst>
            </c:dLbl>
            <c:dLbl>
              <c:idx val="3"/>
              <c:layout>
                <c:manualLayout>
                  <c:x val="1.4238340399757722E-2"/>
                  <c:y val="3.1067991501062368E-2"/>
                </c:manualLayout>
              </c:layout>
              <c:dLblPos val="bestFit"/>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DA3F-4CF3-A9B2-29E4B5BABBEB}"/>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Движимое имущество</c:v>
                </c:pt>
                <c:pt idx="1">
                  <c:v>Инфраструктура естественных монополий</c:v>
                </c:pt>
                <c:pt idx="2">
                  <c:v>Федеральные дороги</c:v>
                </c:pt>
                <c:pt idx="3">
                  <c:v>Прочие</c:v>
                </c:pt>
              </c:strCache>
            </c:strRef>
          </c:cat>
          <c:val>
            <c:numRef>
              <c:f>Лист1!$B$2:$B$5</c:f>
              <c:numCache>
                <c:formatCode>#,##0</c:formatCode>
                <c:ptCount val="4"/>
                <c:pt idx="0">
                  <c:v>2771</c:v>
                </c:pt>
                <c:pt idx="1">
                  <c:v>2352</c:v>
                </c:pt>
                <c:pt idx="2">
                  <c:v>470</c:v>
                </c:pt>
                <c:pt idx="3">
                  <c:v>116</c:v>
                </c:pt>
              </c:numCache>
            </c:numRef>
          </c:val>
          <c:extLst xmlns:c16r2="http://schemas.microsoft.com/office/drawing/2015/06/chart">
            <c:ext xmlns:c16="http://schemas.microsoft.com/office/drawing/2014/chart" uri="{C3380CC4-5D6E-409C-BE32-E72D297353CC}">
              <c16:uniqueId val="{00000008-DA3F-4CF3-A9B2-29E4B5BABBEB}"/>
            </c:ext>
          </c:extLst>
        </c:ser>
        <c:dLbls>
          <c:showLegendKey val="0"/>
          <c:showVal val="0"/>
          <c:showCatName val="0"/>
          <c:showSerName val="0"/>
          <c:showPercent val="0"/>
          <c:showBubbleSize val="0"/>
          <c:showLeaderLines val="1"/>
        </c:dLbls>
        <c:firstSliceAng val="80"/>
      </c:pieChart>
      <c:spPr>
        <a:noFill/>
        <a:ln>
          <a:noFill/>
        </a:ln>
        <a:effectLst/>
      </c:spPr>
    </c:plotArea>
    <c:legend>
      <c:legendPos val="b"/>
      <c:layout>
        <c:manualLayout>
          <c:xMode val="edge"/>
          <c:yMode val="edge"/>
          <c:x val="3.5935904215805357E-2"/>
          <c:y val="0.75507624046994137"/>
          <c:w val="0.93340592230417341"/>
          <c:h val="0.2182120984876890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chemeClr val="bg1">
                    <a:lumMod val="50000"/>
                  </a:schemeClr>
                </a:solidFill>
                <a:latin typeface="+mn-lt"/>
                <a:ea typeface="+mn-ea"/>
                <a:cs typeface="+mn-cs"/>
              </a:defRPr>
            </a:pPr>
            <a:r>
              <a:rPr lang="ru-RU" sz="1400" b="0">
                <a:solidFill>
                  <a:schemeClr val="bg1">
                    <a:lumMod val="50000"/>
                  </a:schemeClr>
                </a:solidFill>
              </a:rPr>
              <a:t>Налоговые</a:t>
            </a:r>
            <a:r>
              <a:rPr lang="ru-RU" sz="1400" b="0" baseline="0">
                <a:solidFill>
                  <a:schemeClr val="bg1">
                    <a:lumMod val="50000"/>
                  </a:schemeClr>
                </a:solidFill>
              </a:rPr>
              <a:t> расходы по корпоративным налогам в регионах СФО в 2016 году </a:t>
            </a:r>
            <a:r>
              <a:rPr lang="ru-RU" sz="1400" b="0">
                <a:solidFill>
                  <a:schemeClr val="bg1">
                    <a:lumMod val="50000"/>
                  </a:schemeClr>
                </a:solidFill>
              </a:rPr>
              <a:t>(млн рублей)</a:t>
            </a:r>
          </a:p>
        </c:rich>
      </c:tx>
      <c:overlay val="0"/>
      <c:spPr>
        <a:noFill/>
        <a:ln>
          <a:noFill/>
        </a:ln>
        <a:effectLst/>
      </c:spPr>
    </c:title>
    <c:autoTitleDeleted val="0"/>
    <c:plotArea>
      <c:layout/>
      <c:barChart>
        <c:barDir val="col"/>
        <c:grouping val="stacked"/>
        <c:varyColors val="0"/>
        <c:ser>
          <c:idx val="0"/>
          <c:order val="0"/>
          <c:tx>
            <c:strRef>
              <c:f>Лист1!$B$1</c:f>
              <c:strCache>
                <c:ptCount val="1"/>
                <c:pt idx="0">
                  <c:v>по ФЛ</c:v>
                </c:pt>
              </c:strCache>
            </c:strRef>
          </c:tx>
          <c:spPr>
            <a:solidFill>
              <a:schemeClr val="accent3">
                <a:lumMod val="60000"/>
                <a:lumOff val="40000"/>
              </a:schemeClr>
            </a:solidFill>
            <a:ln>
              <a:solidFill>
                <a:srgbClr val="00B050"/>
              </a:solid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50000"/>
                      </a:schemeClr>
                    </a:solidFill>
                    <a:effectLst>
                      <a:glow rad="101600">
                        <a:schemeClr val="bg1">
                          <a:alpha val="60000"/>
                        </a:schemeClr>
                      </a:glow>
                    </a:effectLst>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Лист1!$A$2:$A$13</c:f>
              <c:strCache>
                <c:ptCount val="12"/>
                <c:pt idx="0">
                  <c:v>Красноярскый край</c:v>
                </c:pt>
                <c:pt idx="1">
                  <c:v>Иркутская область</c:v>
                </c:pt>
                <c:pt idx="2">
                  <c:v>Кемеровская область</c:v>
                </c:pt>
                <c:pt idx="3">
                  <c:v>Новосибирская область</c:v>
                </c:pt>
                <c:pt idx="4">
                  <c:v>Томская область</c:v>
                </c:pt>
                <c:pt idx="5">
                  <c:v>Республика Хакасия</c:v>
                </c:pt>
                <c:pt idx="6">
                  <c:v>Омская область</c:v>
                </c:pt>
                <c:pt idx="7">
                  <c:v>Республика Бурятия</c:v>
                </c:pt>
                <c:pt idx="8">
                  <c:v>Забайкальский край</c:v>
                </c:pt>
                <c:pt idx="9">
                  <c:v>Республика Алтай</c:v>
                </c:pt>
                <c:pt idx="10">
                  <c:v>Алтайский край</c:v>
                </c:pt>
                <c:pt idx="11">
                  <c:v>Республика Тыва</c:v>
                </c:pt>
              </c:strCache>
            </c:strRef>
          </c:cat>
          <c:val>
            <c:numRef>
              <c:f>Лист1!$B$2:$B$13</c:f>
              <c:numCache>
                <c:formatCode>#,##0</c:formatCode>
                <c:ptCount val="12"/>
                <c:pt idx="0">
                  <c:v>8038</c:v>
                </c:pt>
                <c:pt idx="1">
                  <c:v>5857</c:v>
                </c:pt>
                <c:pt idx="2">
                  <c:v>2272</c:v>
                </c:pt>
                <c:pt idx="3">
                  <c:v>1716</c:v>
                </c:pt>
                <c:pt idx="4">
                  <c:v>1326</c:v>
                </c:pt>
                <c:pt idx="5">
                  <c:v>900</c:v>
                </c:pt>
                <c:pt idx="6">
                  <c:v>722</c:v>
                </c:pt>
                <c:pt idx="7">
                  <c:v>172</c:v>
                </c:pt>
                <c:pt idx="8">
                  <c:v>140</c:v>
                </c:pt>
                <c:pt idx="9">
                  <c:v>79</c:v>
                </c:pt>
                <c:pt idx="10">
                  <c:v>0</c:v>
                </c:pt>
                <c:pt idx="11">
                  <c:v>0</c:v>
                </c:pt>
              </c:numCache>
            </c:numRef>
          </c:val>
          <c:extLst xmlns:c16r2="http://schemas.microsoft.com/office/drawing/2015/06/chart">
            <c:ext xmlns:c16="http://schemas.microsoft.com/office/drawing/2014/chart" uri="{C3380CC4-5D6E-409C-BE32-E72D297353CC}">
              <c16:uniqueId val="{00000000-5631-440F-B72C-EC72A0531A02}"/>
            </c:ext>
          </c:extLst>
        </c:ser>
        <c:dLbls>
          <c:showLegendKey val="0"/>
          <c:showVal val="1"/>
          <c:showCatName val="0"/>
          <c:showSerName val="0"/>
          <c:showPercent val="0"/>
          <c:showBubbleSize val="0"/>
        </c:dLbls>
        <c:gapWidth val="150"/>
        <c:overlap val="100"/>
        <c:axId val="114922624"/>
        <c:axId val="114929664"/>
      </c:barChart>
      <c:catAx>
        <c:axId val="1149226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ru-RU"/>
          </a:p>
        </c:txPr>
        <c:crossAx val="114929664"/>
        <c:crosses val="autoZero"/>
        <c:auto val="1"/>
        <c:lblAlgn val="ctr"/>
        <c:lblOffset val="100"/>
        <c:noMultiLvlLbl val="0"/>
      </c:catAx>
      <c:valAx>
        <c:axId val="114929664"/>
        <c:scaling>
          <c:orientation val="minMax"/>
        </c:scaling>
        <c:delete val="1"/>
        <c:axPos val="l"/>
        <c:numFmt formatCode="#,##0" sourceLinked="1"/>
        <c:majorTickMark val="none"/>
        <c:minorTickMark val="none"/>
        <c:tickLblPos val="nextTo"/>
        <c:crossAx val="114922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65000"/>
        <a:lumOff val="3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915"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D44C-B6DC-4A0D-8CC9-72B6C539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9071</Words>
  <Characters>51706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Виктория  Владимировна Глушенкова</cp:lastModifiedBy>
  <cp:revision>4</cp:revision>
  <cp:lastPrinted>2017-10-25T07:55:00Z</cp:lastPrinted>
  <dcterms:created xsi:type="dcterms:W3CDTF">2017-10-25T07:14:00Z</dcterms:created>
  <dcterms:modified xsi:type="dcterms:W3CDTF">2017-10-25T09:21:00Z</dcterms:modified>
</cp:coreProperties>
</file>