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78" w:rsidRDefault="00AC278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B1078" w:rsidRDefault="007B10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B1078" w:rsidRDefault="006112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7B1078" w:rsidRDefault="007B10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B1078" w:rsidRDefault="006112E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7B1078" w:rsidRPr="006112E4" w:rsidRDefault="007B1078">
      <w:pPr>
        <w:jc w:val="center"/>
        <w:rPr>
          <w:b/>
          <w:sz w:val="26"/>
        </w:rPr>
      </w:pPr>
    </w:p>
    <w:p w:rsidR="007B1078" w:rsidRDefault="00AC2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7B1078" w:rsidRDefault="007B107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7B1078">
        <w:tc>
          <w:tcPr>
            <w:tcW w:w="4678" w:type="dxa"/>
            <w:shd w:val="clear" w:color="auto" w:fill="auto"/>
          </w:tcPr>
          <w:p w:rsidR="007B1078" w:rsidRDefault="006112E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13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2023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7B1078" w:rsidRDefault="00AC278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7B1078">
        <w:tc>
          <w:tcPr>
            <w:tcW w:w="4678" w:type="dxa"/>
            <w:shd w:val="clear" w:color="auto" w:fill="auto"/>
          </w:tcPr>
          <w:p w:rsidR="007B1078" w:rsidRDefault="006112E4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425</w:t>
            </w:r>
          </w:p>
        </w:tc>
        <w:tc>
          <w:tcPr>
            <w:tcW w:w="4962" w:type="dxa"/>
            <w:shd w:val="clear" w:color="auto" w:fill="auto"/>
          </w:tcPr>
          <w:p w:rsidR="007B1078" w:rsidRDefault="007B1078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7B1078" w:rsidRDefault="007B1078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7B1078" w:rsidTr="00396EF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B1078" w:rsidRDefault="007B10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B1078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7B1078" w:rsidRPr="006112E4" w:rsidRDefault="006112E4" w:rsidP="006112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6112E4" w:rsidTr="00396EF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11.45</w:t>
            </w:r>
          </w:p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ПЗ-1131(1чт)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112E4" w:rsidRPr="006112E4" w:rsidRDefault="006112E4" w:rsidP="006112E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ПЗ-1131 «О внесении изменений в Закон Иркутской области «Об областном бюджете на 2023 год и на плановый период 2024 и 2025 годов» (первое чтение)</w:t>
            </w:r>
          </w:p>
          <w:p w:rsidR="006112E4" w:rsidRPr="006112E4" w:rsidRDefault="006112E4" w:rsidP="006112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12E4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  <w:tr w:rsidR="006112E4" w:rsidTr="00396EF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ПЗ-1108(2чт)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112E4" w:rsidRPr="006112E4" w:rsidRDefault="006112E4" w:rsidP="006112E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ПЗ-1108 «О внесении изменений в часть 1 статьи 2 Закона Иркутской области «О транспортном налоге» (второе чтение)</w:t>
            </w:r>
          </w:p>
          <w:p w:rsidR="006112E4" w:rsidRPr="006112E4" w:rsidRDefault="006112E4" w:rsidP="006112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12E4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6112E4" w:rsidTr="00396EF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ПЗ-1119(1чт)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112E4" w:rsidRPr="006112E4" w:rsidRDefault="006112E4" w:rsidP="006112E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ПЗ-1119 «Об утверждении заключенных дополнительных соглашений о реструктуризации обязательств (задолженности) Иркутской области перед Российской Федерацией по бюджетным кредитам» (первое чтение)</w:t>
            </w:r>
          </w:p>
          <w:p w:rsidR="006112E4" w:rsidRPr="006112E4" w:rsidRDefault="006112E4" w:rsidP="006112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12E4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  <w:tr w:rsidR="006112E4" w:rsidTr="00396EFD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11.55 – 12.05</w:t>
            </w:r>
          </w:p>
          <w:p w:rsidR="006112E4" w:rsidRDefault="006112E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ПЗ-1125(1чт)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112E4" w:rsidRPr="006112E4" w:rsidRDefault="006112E4" w:rsidP="006112E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ПЗ-1125 «О внесении изменений в Закон Иркутской области «О межбюджетных трансфертах и нормативах отчислений доходов в местные бюджеты» (первое чтение)</w:t>
            </w:r>
          </w:p>
          <w:p w:rsidR="006112E4" w:rsidRPr="006112E4" w:rsidRDefault="006112E4" w:rsidP="006112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112E4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</w:tbl>
    <w:p w:rsidR="007B1078" w:rsidRPr="00396EFD" w:rsidRDefault="007B1078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B1078" w:rsidTr="00396EFD">
        <w:tc>
          <w:tcPr>
            <w:tcW w:w="4785" w:type="dxa"/>
            <w:shd w:val="clear" w:color="auto" w:fill="auto"/>
          </w:tcPr>
          <w:p w:rsidR="007B1078" w:rsidRPr="006112E4" w:rsidRDefault="006112E4">
            <w:pPr>
              <w:rPr>
                <w:sz w:val="28"/>
                <w:szCs w:val="28"/>
              </w:rPr>
            </w:pPr>
            <w:r w:rsidRPr="006112E4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396EFD" w:rsidRDefault="00396EF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96EFD" w:rsidRDefault="00396EF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96EFD" w:rsidRDefault="00396EF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96EFD" w:rsidRDefault="00396EF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B1078" w:rsidRDefault="006112E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 w:rsidR="00396E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6112E4" w:rsidRPr="00396EFD" w:rsidRDefault="006112E4">
      <w:pPr>
        <w:rPr>
          <w:sz w:val="28"/>
          <w:szCs w:val="28"/>
        </w:rPr>
      </w:pPr>
      <w:bookmarkStart w:id="0" w:name="_GoBack"/>
      <w:bookmarkEnd w:id="0"/>
    </w:p>
    <w:sectPr w:rsidR="006112E4" w:rsidRPr="00396EFD" w:rsidSect="00396EFD">
      <w:headerReference w:type="even" r:id="rId9"/>
      <w:headerReference w:type="default" r:id="rId10"/>
      <w:footerReference w:type="even" r:id="rId11"/>
      <w:pgSz w:w="11906" w:h="16838"/>
      <w:pgMar w:top="284" w:right="850" w:bottom="426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D7" w:rsidRDefault="009E20D7">
      <w:r>
        <w:separator/>
      </w:r>
    </w:p>
  </w:endnote>
  <w:endnote w:type="continuationSeparator" w:id="0">
    <w:p w:rsidR="009E20D7" w:rsidRDefault="009E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78" w:rsidRDefault="00AC278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B1078" w:rsidRDefault="007B10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D7" w:rsidRDefault="009E20D7">
      <w:r>
        <w:separator/>
      </w:r>
    </w:p>
  </w:footnote>
  <w:footnote w:type="continuationSeparator" w:id="0">
    <w:p w:rsidR="009E20D7" w:rsidRDefault="009E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78" w:rsidRDefault="00AC278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B1078" w:rsidRDefault="007B10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78" w:rsidRDefault="007B1078">
    <w:pPr>
      <w:pStyle w:val="a4"/>
      <w:jc w:val="center"/>
    </w:pPr>
  </w:p>
  <w:p w:rsidR="007B1078" w:rsidRDefault="007B10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112E4"/>
    <w:rsid w:val="00396EFD"/>
    <w:rsid w:val="006112E4"/>
    <w:rsid w:val="007B1078"/>
    <w:rsid w:val="009E20D7"/>
    <w:rsid w:val="00A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ovievaDE.IRZ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8252-803A-46FA-B767-3B844C78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Зиновьева Дарья Евгеньевна</dc:creator>
  <cp:lastModifiedBy>Зиновьева Дарья Евгеньевна</cp:lastModifiedBy>
  <cp:revision>2</cp:revision>
  <cp:lastPrinted>2005-02-10T04:09:00Z</cp:lastPrinted>
  <dcterms:created xsi:type="dcterms:W3CDTF">2023-02-09T07:51:00Z</dcterms:created>
  <dcterms:modified xsi:type="dcterms:W3CDTF">2023-02-10T00:38:00Z</dcterms:modified>
</cp:coreProperties>
</file>