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72" w:type="dxa"/>
        <w:tblLayout w:type="fixed"/>
        <w:tblCellMar>
          <w:left w:w="70" w:type="dxa"/>
          <w:right w:w="70" w:type="dxa"/>
        </w:tblCellMar>
        <w:tblLook w:val="0000" w:firstRow="0" w:lastRow="0" w:firstColumn="0" w:lastColumn="0" w:noHBand="0" w:noVBand="0"/>
      </w:tblPr>
      <w:tblGrid>
        <w:gridCol w:w="4608"/>
        <w:gridCol w:w="4890"/>
      </w:tblGrid>
      <w:tr w:rsidR="003311B6">
        <w:trPr>
          <w:trHeight w:val="4820"/>
        </w:trPr>
        <w:tc>
          <w:tcPr>
            <w:tcW w:w="4608" w:type="dxa"/>
            <w:vAlign w:val="bottom"/>
          </w:tcPr>
          <w:p w:rsidR="003311B6" w:rsidRDefault="00FD36A9">
            <w:pPr>
              <w:tabs>
                <w:tab w:val="left" w:pos="1418"/>
                <w:tab w:val="left" w:pos="1560"/>
                <w:tab w:val="left" w:pos="2694"/>
                <w:tab w:val="left" w:pos="2977"/>
              </w:tabs>
              <w:spacing w:before="100" w:line="240" w:lineRule="atLeast"/>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8752;visibility:hidden" filled="t" stroked="t">
                  <v:stroke joinstyle="round"/>
                  <v:path o:extrusionok="t" gradientshapeok="f" o:connecttype="segments"/>
                  <o:lock v:ext="edit" aspectratio="f" selection="t"/>
                </v:shape>
              </w:pict>
            </w:r>
            <w:r w:rsidR="00B11DA6">
              <w:object w:dxaOrig="1230" w:dyaOrig="1470">
                <v:shape id="_x0000_i0" o:spid="_x0000_i1025" type="#_x0000_t75" style="width:62.65pt;height:73.85pt;mso-wrap-distance-left:0;mso-wrap-distance-top:0;mso-wrap-distance-right:0;mso-wrap-distance-bottom:0" o:ole="">
                  <v:imagedata r:id="rId11" o:title=""/>
                  <v:path textboxrect="0,0,0,0"/>
                </v:shape>
                <o:OLEObject Type="Embed" ProgID="PBrush" ShapeID="_x0000_i0" DrawAspect="Content" ObjectID="_1828000352" r:id="rId12"/>
              </w:object>
            </w:r>
          </w:p>
          <w:p w:rsidR="003311B6" w:rsidRDefault="00B11DA6">
            <w:pPr>
              <w:tabs>
                <w:tab w:val="left" w:pos="1418"/>
                <w:tab w:val="left" w:pos="1560"/>
                <w:tab w:val="left" w:pos="2694"/>
                <w:tab w:val="left" w:pos="2977"/>
              </w:tabs>
              <w:spacing w:before="100" w:line="240" w:lineRule="atLeast"/>
              <w:jc w:val="center"/>
              <w:rPr>
                <w:sz w:val="24"/>
                <w:szCs w:val="24"/>
              </w:rPr>
            </w:pPr>
            <w:r>
              <w:rPr>
                <w:b/>
                <w:bCs/>
                <w:sz w:val="24"/>
                <w:szCs w:val="24"/>
              </w:rPr>
              <w:t>МИНИСТЕРСТВО</w:t>
            </w:r>
          </w:p>
          <w:p w:rsidR="003311B6" w:rsidRDefault="00B11DA6">
            <w:pPr>
              <w:tabs>
                <w:tab w:val="left" w:pos="1418"/>
                <w:tab w:val="left" w:pos="1560"/>
                <w:tab w:val="left" w:pos="2694"/>
                <w:tab w:val="left" w:pos="2977"/>
              </w:tabs>
              <w:spacing w:line="240" w:lineRule="atLeast"/>
              <w:jc w:val="center"/>
              <w:rPr>
                <w:b/>
                <w:bCs/>
                <w:sz w:val="24"/>
                <w:szCs w:val="24"/>
              </w:rPr>
            </w:pPr>
            <w:r>
              <w:rPr>
                <w:b/>
                <w:bCs/>
                <w:sz w:val="24"/>
                <w:szCs w:val="24"/>
              </w:rPr>
              <w:t>ЗДРАВООХРАНЕНИЯ</w:t>
            </w:r>
          </w:p>
          <w:p w:rsidR="003311B6" w:rsidRDefault="00B11DA6">
            <w:pPr>
              <w:tabs>
                <w:tab w:val="left" w:pos="1418"/>
                <w:tab w:val="left" w:pos="1560"/>
                <w:tab w:val="left" w:pos="2694"/>
                <w:tab w:val="left" w:pos="2977"/>
              </w:tabs>
              <w:spacing w:line="240" w:lineRule="atLeast"/>
              <w:jc w:val="center"/>
              <w:rPr>
                <w:b/>
                <w:caps/>
                <w:sz w:val="24"/>
                <w:szCs w:val="24"/>
              </w:rPr>
            </w:pPr>
            <w:r>
              <w:rPr>
                <w:b/>
                <w:bCs/>
                <w:sz w:val="24"/>
                <w:szCs w:val="24"/>
              </w:rPr>
              <w:t>ИРКУТСКОЙ ОБЛАСТИ</w:t>
            </w:r>
          </w:p>
          <w:p w:rsidR="003311B6" w:rsidRDefault="00B11DA6">
            <w:pPr>
              <w:pStyle w:val="Default"/>
              <w:jc w:val="center"/>
              <w:rPr>
                <w:sz w:val="19"/>
                <w:szCs w:val="19"/>
              </w:rPr>
            </w:pPr>
            <w:r>
              <w:rPr>
                <w:sz w:val="19"/>
                <w:szCs w:val="19"/>
              </w:rPr>
              <w:t>ул. Карла Маркса, 29, Иркутск, 664003</w:t>
            </w:r>
          </w:p>
          <w:p w:rsidR="003311B6" w:rsidRDefault="00B11DA6">
            <w:pPr>
              <w:jc w:val="center"/>
              <w:rPr>
                <w:sz w:val="19"/>
                <w:szCs w:val="19"/>
              </w:rPr>
            </w:pPr>
            <w:r>
              <w:rPr>
                <w:sz w:val="19"/>
                <w:szCs w:val="19"/>
              </w:rPr>
              <w:t>Тел./факс (3952) 24-05-86</w:t>
            </w:r>
          </w:p>
          <w:p w:rsidR="003311B6" w:rsidRDefault="00B11DA6">
            <w:pPr>
              <w:jc w:val="center"/>
              <w:rPr>
                <w:sz w:val="19"/>
                <w:szCs w:val="19"/>
              </w:rPr>
            </w:pPr>
            <w:r>
              <w:rPr>
                <w:sz w:val="19"/>
                <w:szCs w:val="19"/>
                <w:lang w:val="en-US"/>
              </w:rPr>
              <w:t>E</w:t>
            </w:r>
            <w:r>
              <w:rPr>
                <w:sz w:val="19"/>
                <w:szCs w:val="19"/>
              </w:rPr>
              <w:t>-</w:t>
            </w:r>
            <w:r>
              <w:rPr>
                <w:sz w:val="19"/>
                <w:szCs w:val="19"/>
                <w:lang w:val="en-US"/>
              </w:rPr>
              <w:t>mail</w:t>
            </w:r>
            <w:r>
              <w:rPr>
                <w:sz w:val="19"/>
                <w:szCs w:val="19"/>
              </w:rPr>
              <w:t>: guzio@</w:t>
            </w:r>
            <w:r>
              <w:rPr>
                <w:sz w:val="19"/>
                <w:szCs w:val="19"/>
                <w:lang w:val="en-US"/>
              </w:rPr>
              <w:t>guzio</w:t>
            </w:r>
            <w:r>
              <w:rPr>
                <w:sz w:val="19"/>
                <w:szCs w:val="19"/>
              </w:rPr>
              <w:t>.ru</w:t>
            </w:r>
          </w:p>
          <w:p w:rsidR="003311B6" w:rsidRDefault="003311B6">
            <w:pPr>
              <w:jc w:val="center"/>
              <w:rPr>
                <w:sz w:val="19"/>
                <w:szCs w:val="19"/>
                <w:lang w:val="en-US"/>
              </w:rPr>
            </w:pPr>
          </w:p>
          <w:p w:rsidR="003311B6" w:rsidRDefault="00B11DA6">
            <w:pPr>
              <w:rPr>
                <w:sz w:val="18"/>
                <w:szCs w:val="18"/>
                <w:lang w:val="en-US"/>
              </w:rPr>
            </w:pPr>
            <w:r>
              <w:rPr>
                <w:sz w:val="18"/>
                <w:szCs w:val="18"/>
                <w:lang w:val="en-US"/>
              </w:rPr>
              <w:t xml:space="preserve">   </w:t>
            </w:r>
            <w:bookmarkStart w:id="0" w:name="REGNUMDATESTAMP"/>
            <w:bookmarkEnd w:id="0"/>
            <w:r>
              <w:rPr>
                <w:sz w:val="18"/>
                <w:szCs w:val="18"/>
                <w:lang w:val="en-US"/>
              </w:rPr>
              <w:t xml:space="preserve">       </w:t>
            </w:r>
          </w:p>
          <w:p w:rsidR="003311B6" w:rsidRDefault="003311B6">
            <w:pPr>
              <w:spacing w:line="180" w:lineRule="exact"/>
              <w:jc w:val="center"/>
              <w:rPr>
                <w:sz w:val="19"/>
                <w:szCs w:val="19"/>
                <w:lang w:val="en-US"/>
              </w:rPr>
            </w:pPr>
          </w:p>
          <w:tbl>
            <w:tblPr>
              <w:tblStyle w:val="af7"/>
              <w:tblW w:w="4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79"/>
              <w:gridCol w:w="1911"/>
              <w:gridCol w:w="273"/>
              <w:gridCol w:w="1707"/>
            </w:tblGrid>
            <w:tr w:rsidR="003311B6">
              <w:trPr>
                <w:trHeight w:val="323"/>
              </w:trPr>
              <w:tc>
                <w:tcPr>
                  <w:tcW w:w="479" w:type="dxa"/>
                </w:tcPr>
                <w:p w:rsidR="003311B6" w:rsidRDefault="00B11DA6">
                  <w:pPr>
                    <w:spacing w:before="60"/>
                    <w:ind w:left="-113" w:hanging="142"/>
                    <w:jc w:val="right"/>
                    <w:rPr>
                      <w:sz w:val="18"/>
                      <w:szCs w:val="18"/>
                    </w:rPr>
                  </w:pPr>
                  <w:r>
                    <w:rPr>
                      <w:sz w:val="18"/>
                      <w:szCs w:val="18"/>
                    </w:rPr>
                    <w:t>на №</w:t>
                  </w:r>
                </w:p>
              </w:tc>
              <w:tc>
                <w:tcPr>
                  <w:tcW w:w="1911" w:type="dxa"/>
                  <w:tcBorders>
                    <w:bottom w:val="single" w:sz="4" w:space="0" w:color="auto"/>
                  </w:tcBorders>
                </w:tcPr>
                <w:p w:rsidR="003311B6" w:rsidRDefault="00B11DA6">
                  <w:pPr>
                    <w:spacing w:before="60"/>
                    <w:jc w:val="center"/>
                    <w:rPr>
                      <w:sz w:val="22"/>
                      <w:szCs w:val="22"/>
                    </w:rPr>
                  </w:pPr>
                  <w:r>
                    <w:rPr>
                      <w:sz w:val="22"/>
                      <w:szCs w:val="22"/>
                    </w:rPr>
                    <w:t>исх.09-164/25</w:t>
                  </w:r>
                </w:p>
              </w:tc>
              <w:tc>
                <w:tcPr>
                  <w:tcW w:w="273" w:type="dxa"/>
                </w:tcPr>
                <w:p w:rsidR="003311B6" w:rsidRDefault="00B11DA6">
                  <w:pPr>
                    <w:spacing w:before="60"/>
                    <w:ind w:left="-113"/>
                    <w:rPr>
                      <w:sz w:val="18"/>
                      <w:szCs w:val="18"/>
                    </w:rPr>
                  </w:pPr>
                  <w:r>
                    <w:rPr>
                      <w:sz w:val="18"/>
                      <w:szCs w:val="18"/>
                    </w:rPr>
                    <w:t>от</w:t>
                  </w:r>
                </w:p>
              </w:tc>
              <w:tc>
                <w:tcPr>
                  <w:tcW w:w="1707" w:type="dxa"/>
                  <w:tcBorders>
                    <w:bottom w:val="single" w:sz="4" w:space="0" w:color="auto"/>
                  </w:tcBorders>
                </w:tcPr>
                <w:p w:rsidR="003311B6" w:rsidRDefault="00B11DA6">
                  <w:pPr>
                    <w:spacing w:before="60"/>
                    <w:jc w:val="center"/>
                    <w:rPr>
                      <w:sz w:val="22"/>
                      <w:szCs w:val="22"/>
                    </w:rPr>
                  </w:pPr>
                  <w:r>
                    <w:rPr>
                      <w:sz w:val="22"/>
                      <w:szCs w:val="22"/>
                    </w:rPr>
                    <w:t>10.12.2025</w:t>
                  </w:r>
                </w:p>
              </w:tc>
            </w:tr>
          </w:tbl>
          <w:bookmarkStart w:id="1" w:name="ANNOTATION"/>
          <w:bookmarkEnd w:id="1"/>
          <w:p w:rsidR="003311B6" w:rsidRDefault="00B11DA6">
            <w:pPr>
              <w:tabs>
                <w:tab w:val="left" w:pos="278"/>
                <w:tab w:val="left" w:pos="3900"/>
                <w:tab w:val="left" w:pos="3969"/>
              </w:tabs>
              <w:spacing w:before="560"/>
              <w:ind w:left="215" w:right="215"/>
              <w:rPr>
                <w:sz w:val="24"/>
                <w:szCs w:val="22"/>
                <w:lang w:val="en-US"/>
              </w:rPr>
            </w:pPr>
            <w:r>
              <w:rPr>
                <w:noProof/>
                <w:sz w:val="24"/>
                <w:szCs w:val="22"/>
              </w:rPr>
              <mc:AlternateContent>
                <mc:Choice Requires="wpg">
                  <w:drawing>
                    <wp:anchor distT="0" distB="0" distL="114300" distR="114300" simplePos="0" relativeHeight="251656704" behindDoc="0" locked="0" layoutInCell="1" allowOverlap="1">
                      <wp:simplePos x="0" y="0"/>
                      <wp:positionH relativeFrom="column">
                        <wp:posOffset>2674620</wp:posOffset>
                      </wp:positionH>
                      <wp:positionV relativeFrom="paragraph">
                        <wp:posOffset>323215</wp:posOffset>
                      </wp:positionV>
                      <wp:extent cx="36830" cy="36195"/>
                      <wp:effectExtent l="0" t="0" r="0" b="0"/>
                      <wp:wrapNone/>
                      <wp:docPr id="2" name="Group 17"/>
                      <wp:cNvGraphicFramePr/>
                      <a:graphic xmlns:a="http://schemas.openxmlformats.org/drawingml/2006/main">
                        <a:graphicData uri="http://schemas.microsoft.com/office/word/2010/wordprocessingGroup">
                          <wpg:wgp>
                            <wpg:cNvGrpSpPr/>
                            <wpg:grpSpPr bwMode="auto">
                              <a:xfrm>
                                <a:off x="0" y="0"/>
                                <a:ext cx="36830" cy="36195"/>
                                <a:chOff x="6180" y="4820"/>
                                <a:chExt cx="58" cy="57"/>
                              </a:xfrm>
                            </wpg:grpSpPr>
                            <wps:wsp>
                              <wps:cNvPr id="1" name="Прямая соединительная линия 1"/>
                              <wps:cNvCnPr/>
                              <wps:spPr bwMode="auto">
                                <a:xfrm>
                                  <a:off x="6236" y="4820"/>
                                  <a:ext cx="1" cy="57"/>
                                </a:xfrm>
                                <a:prstGeom prst="line">
                                  <a:avLst/>
                                </a:prstGeom>
                                <a:noFill/>
                                <a:ln w="9525">
                                  <a:solidFill>
                                    <a:srgbClr val="000000"/>
                                  </a:solidFill>
                                  <a:round/>
                                  <a:headEnd/>
                                  <a:tailEnd/>
                                </a:ln>
                                <a:effectLst/>
                              </wps:spPr>
                              <wps:bodyPr/>
                            </wps:wsp>
                            <wps:wsp>
                              <wps:cNvPr id="3" name="Прямая соединительная линия 3"/>
                              <wps:cNvCnPr/>
                              <wps:spPr bwMode="auto">
                                <a:xfrm>
                                  <a:off x="6180" y="4820"/>
                                  <a:ext cx="57" cy="1"/>
                                </a:xfrm>
                                <a:prstGeom prst="line">
                                  <a:avLst/>
                                </a:prstGeom>
                                <a:noFill/>
                                <a:ln w="9525">
                                  <a:solidFill>
                                    <a:srgbClr val="000000"/>
                                  </a:solidFill>
                                  <a:round/>
                                  <a:headEnd/>
                                  <a:tailEnd/>
                                </a:ln>
                                <a:effec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 o:spid="_x0000_s0000" style="position:absolute;z-index:251661312;o:allowoverlap:true;o:allowincell:true;mso-position-horizontal-relative:text;margin-left:210.60pt;mso-position-horizontal:absolute;mso-position-vertical-relative:text;margin-top:25.45pt;mso-position-vertical:absolute;width:2.90pt;height:2.85pt;mso-wrap-distance-left:9.00pt;mso-wrap-distance-top:0.00pt;mso-wrap-distance-right:9.00pt;mso-wrap-distance-bottom:0.00pt;" coordorigin="61,48" coordsize="0,0">
                      <v:line id="shape 2" o:spid="_x0000_s2" style="position:absolute;left:0;text-align:left;z-index:251661312;visibility:visible;" from="210.6pt,25.4pt" to="213.5pt,28.3pt" filled="f" strokecolor="#000000" strokeweight="0.75pt"/>
                      <v:line id="shape 3" o:spid="_x0000_s3" style="position:absolute;left:0;text-align:left;z-index:251661312;visibility:visible;" from="210.6pt,25.4pt" to="213.5pt,28.3pt" filled="f" strokecolor="#000000" strokeweight="0.75pt"/>
                    </v:group>
                  </w:pict>
                </mc:Fallback>
              </mc:AlternateContent>
            </w:r>
            <w:r>
              <w:rPr>
                <w:noProof/>
                <w:sz w:val="24"/>
                <w:szCs w:val="22"/>
              </w:rPr>
              <mc:AlternateContent>
                <mc:Choice Requires="wpg">
                  <w:drawing>
                    <wp:anchor distT="0" distB="0" distL="114300" distR="114300" simplePos="0" relativeHeight="251657728" behindDoc="0" locked="0" layoutInCell="1" allowOverlap="1">
                      <wp:simplePos x="0" y="0"/>
                      <wp:positionH relativeFrom="column">
                        <wp:posOffset>90170</wp:posOffset>
                      </wp:positionH>
                      <wp:positionV relativeFrom="paragraph">
                        <wp:posOffset>308610</wp:posOffset>
                      </wp:positionV>
                      <wp:extent cx="36195" cy="36195"/>
                      <wp:effectExtent l="0" t="0" r="0" b="0"/>
                      <wp:wrapNone/>
                      <wp:docPr id="3" name="Group 21"/>
                      <wp:cNvGraphicFramePr/>
                      <a:graphic xmlns:a="http://schemas.openxmlformats.org/drawingml/2006/main">
                        <a:graphicData uri="http://schemas.microsoft.com/office/word/2010/wordprocessingGroup">
                          <wpg:wgp>
                            <wpg:cNvGrpSpPr/>
                            <wpg:grpSpPr bwMode="auto">
                              <a:xfrm>
                                <a:off x="0" y="0"/>
                                <a:ext cx="36195" cy="36195"/>
                                <a:chOff x="2098" y="4820"/>
                                <a:chExt cx="57" cy="57"/>
                              </a:xfrm>
                            </wpg:grpSpPr>
                            <wps:wsp>
                              <wps:cNvPr id="5" name="Прямая соединительная линия 5"/>
                              <wps:cNvCnPr/>
                              <wps:spPr bwMode="auto">
                                <a:xfrm>
                                  <a:off x="2098" y="4820"/>
                                  <a:ext cx="57" cy="1"/>
                                </a:xfrm>
                                <a:prstGeom prst="line">
                                  <a:avLst/>
                                </a:prstGeom>
                                <a:noFill/>
                                <a:ln w="9525">
                                  <a:solidFill>
                                    <a:srgbClr val="000000"/>
                                  </a:solidFill>
                                  <a:round/>
                                  <a:headEnd/>
                                  <a:tailEnd/>
                                </a:ln>
                                <a:effectLst/>
                              </wps:spPr>
                              <wps:bodyPr/>
                            </wps:wsp>
                            <wps:wsp>
                              <wps:cNvPr id="6" name="Прямая соединительная линия 6"/>
                              <wps:cNvCnPr/>
                              <wps:spPr bwMode="auto">
                                <a:xfrm>
                                  <a:off x="2098" y="4820"/>
                                  <a:ext cx="1" cy="57"/>
                                </a:xfrm>
                                <a:prstGeom prst="line">
                                  <a:avLst/>
                                </a:prstGeom>
                                <a:noFill/>
                                <a:ln w="9525">
                                  <a:solidFill>
                                    <a:srgbClr val="000000"/>
                                  </a:solidFill>
                                  <a:round/>
                                  <a:headEnd/>
                                  <a:tailEnd/>
                                </a:ln>
                                <a:effec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4" o:spid="_x0000_s0000" style="position:absolute;z-index:251662336;o:allowoverlap:true;o:allowincell:true;mso-position-horizontal-relative:text;margin-left:7.10pt;mso-position-horizontal:absolute;mso-position-vertical-relative:text;margin-top:24.30pt;mso-position-vertical:absolute;width:2.85pt;height:2.85pt;mso-wrap-distance-left:9.00pt;mso-wrap-distance-top:0.00pt;mso-wrap-distance-right:9.00pt;mso-wrap-distance-bottom:0.00pt;" coordorigin="20,48" coordsize="0,0">
                      <v:line id="shape 5" o:spid="_x0000_s5" style="position:absolute;left:0;text-align:left;z-index:251662336;visibility:visible;" from="7.1pt,24.3pt" to="9.9pt,27.1pt" filled="f" strokecolor="#000000" strokeweight="0.75pt"/>
                      <v:line id="shape 6" o:spid="_x0000_s6" style="position:absolute;left:0;text-align:left;z-index:251662336;visibility:visible;" from="7.1pt,24.3pt" to="9.9pt,27.1pt" filled="f" strokecolor="#000000" strokeweight="0.75pt"/>
                    </v:group>
                  </w:pict>
                </mc:Fallback>
              </mc:AlternateContent>
            </w:r>
          </w:p>
        </w:tc>
        <w:tc>
          <w:tcPr>
            <w:tcW w:w="4890" w:type="dxa"/>
          </w:tcPr>
          <w:p w:rsidR="003311B6" w:rsidRDefault="003311B6">
            <w:pPr>
              <w:rPr>
                <w:rFonts w:ascii="Times New Roman Cyr Bold" w:hAnsi="Times New Roman Cyr Bold"/>
              </w:rPr>
            </w:pPr>
          </w:p>
          <w:p w:rsidR="003311B6" w:rsidRDefault="003311B6">
            <w:pPr>
              <w:rPr>
                <w:rFonts w:ascii="Times New Roman Cyr Bold" w:hAnsi="Times New Roman Cyr Bold"/>
              </w:rPr>
            </w:pPr>
          </w:p>
          <w:p w:rsidR="003311B6" w:rsidRDefault="003311B6">
            <w:pPr>
              <w:rPr>
                <w:rFonts w:ascii="Times New Roman Cyr Bold" w:hAnsi="Times New Roman Cyr Bold"/>
              </w:rPr>
            </w:pPr>
          </w:p>
          <w:p w:rsidR="003311B6" w:rsidRDefault="003311B6">
            <w:pPr>
              <w:jc w:val="center"/>
            </w:pPr>
          </w:p>
          <w:p w:rsidR="003311B6" w:rsidRDefault="00B11DA6">
            <w:pPr>
              <w:jc w:val="center"/>
              <w:rPr>
                <w:szCs w:val="28"/>
              </w:rPr>
            </w:pPr>
            <w:r>
              <w:rPr>
                <w:szCs w:val="28"/>
              </w:rPr>
              <w:t xml:space="preserve">Законодательное собрание </w:t>
            </w:r>
          </w:p>
          <w:p w:rsidR="003311B6" w:rsidRDefault="00B11DA6">
            <w:pPr>
              <w:jc w:val="center"/>
              <w:rPr>
                <w:szCs w:val="28"/>
              </w:rPr>
            </w:pPr>
            <w:r>
              <w:rPr>
                <w:szCs w:val="28"/>
              </w:rPr>
              <w:t>Иркутской области</w:t>
            </w:r>
          </w:p>
          <w:p w:rsidR="003311B6" w:rsidRDefault="003311B6">
            <w:pPr>
              <w:jc w:val="center"/>
              <w:rPr>
                <w:szCs w:val="28"/>
              </w:rPr>
            </w:pPr>
          </w:p>
          <w:p w:rsidR="003311B6" w:rsidRDefault="00B11DA6">
            <w:pPr>
              <w:jc w:val="center"/>
              <w:rPr>
                <w:szCs w:val="28"/>
              </w:rPr>
            </w:pPr>
            <w:r>
              <w:rPr>
                <w:szCs w:val="28"/>
              </w:rPr>
              <w:t xml:space="preserve">Председателю комиссии по контрольной деятельности </w:t>
            </w:r>
          </w:p>
          <w:p w:rsidR="003311B6" w:rsidRDefault="003311B6">
            <w:pPr>
              <w:jc w:val="center"/>
              <w:rPr>
                <w:szCs w:val="28"/>
              </w:rPr>
            </w:pPr>
          </w:p>
          <w:p w:rsidR="003311B6" w:rsidRDefault="00B11DA6">
            <w:pPr>
              <w:jc w:val="center"/>
              <w:rPr>
                <w:rFonts w:ascii="Times New Roman Cyr Bold" w:hAnsi="Times New Roman Cyr Bold"/>
              </w:rPr>
            </w:pPr>
            <w:r>
              <w:rPr>
                <w:szCs w:val="28"/>
              </w:rPr>
              <w:t xml:space="preserve">Ф.С. </w:t>
            </w:r>
            <w:proofErr w:type="spellStart"/>
            <w:r>
              <w:rPr>
                <w:szCs w:val="28"/>
              </w:rPr>
              <w:t>Саломатову</w:t>
            </w:r>
            <w:proofErr w:type="spellEnd"/>
            <w:r>
              <w:rPr>
                <w:szCs w:val="28"/>
              </w:rPr>
              <w:t xml:space="preserve"> </w:t>
            </w:r>
          </w:p>
        </w:tc>
      </w:tr>
    </w:tbl>
    <w:p w:rsidR="003311B6" w:rsidRDefault="00B11DA6">
      <w:pPr>
        <w:spacing w:line="234" w:lineRule="auto"/>
        <w:jc w:val="center"/>
      </w:pPr>
      <w:r>
        <w:rPr>
          <w:color w:val="000000" w:themeColor="text1"/>
          <w:szCs w:val="28"/>
        </w:rPr>
        <w:t xml:space="preserve"> </w:t>
      </w:r>
      <w:r>
        <w:t>Уважаемый Федор Сергеевич!</w:t>
      </w:r>
    </w:p>
    <w:p w:rsidR="003311B6" w:rsidRDefault="003311B6">
      <w:pPr>
        <w:spacing w:line="234" w:lineRule="auto"/>
        <w:ind w:firstLine="709"/>
        <w:jc w:val="center"/>
        <w:rPr>
          <w:sz w:val="16"/>
          <w:szCs w:val="16"/>
        </w:rPr>
      </w:pPr>
    </w:p>
    <w:p w:rsidR="003311B6" w:rsidRDefault="00B11DA6">
      <w:pPr>
        <w:tabs>
          <w:tab w:val="left" w:pos="7200"/>
        </w:tabs>
        <w:spacing w:line="234" w:lineRule="auto"/>
        <w:ind w:firstLine="720"/>
        <w:jc w:val="both"/>
        <w:rPr>
          <w:szCs w:val="28"/>
        </w:rPr>
      </w:pPr>
      <w:r>
        <w:rPr>
          <w:szCs w:val="28"/>
        </w:rPr>
        <w:t xml:space="preserve">Министерство здравоохранения Иркутской области (далее – министерство) информирует о мерах, принятых и принимаемых </w:t>
      </w:r>
      <w:r>
        <w:rPr>
          <w:szCs w:val="28"/>
        </w:rPr>
        <w:br/>
        <w:t xml:space="preserve">по устранению нарушений, недостатков       и условий им способствовавших, выявленных по результатам проведенного Контрольно-счетной палатой Иркутской области контрольного мероприятия «Проверка использования бюджетных средств, направленных в 2024 году        на оказание медицинской помощи больным с онкологическими заболеваниями» по представлению </w:t>
      </w:r>
      <w:r>
        <w:rPr>
          <w:szCs w:val="28"/>
        </w:rPr>
        <w:br/>
        <w:t>от 1 августа 2025 года №15/24-ПР (далее - представление).</w:t>
      </w:r>
    </w:p>
    <w:p w:rsidR="003311B6" w:rsidRDefault="00B11DA6">
      <w:pPr>
        <w:tabs>
          <w:tab w:val="left" w:pos="7200"/>
        </w:tabs>
        <w:spacing w:before="120" w:line="234" w:lineRule="auto"/>
        <w:ind w:firstLine="720"/>
        <w:jc w:val="both"/>
        <w:rPr>
          <w:b/>
          <w:bCs/>
          <w:szCs w:val="28"/>
        </w:rPr>
      </w:pPr>
      <w:r>
        <w:rPr>
          <w:b/>
          <w:bCs/>
          <w:szCs w:val="28"/>
        </w:rPr>
        <w:t>По пунктам 1 и 2 представления.</w:t>
      </w:r>
    </w:p>
    <w:p w:rsidR="003311B6" w:rsidRDefault="00B11DA6">
      <w:pPr>
        <w:pBdr>
          <w:top w:val="none" w:sz="0" w:space="0" w:color="000000"/>
          <w:left w:val="none" w:sz="0" w:space="0" w:color="000000"/>
          <w:bottom w:val="none" w:sz="0" w:space="0" w:color="000000"/>
          <w:right w:val="none" w:sz="0" w:space="0" w:color="000000"/>
        </w:pBdr>
        <w:shd w:val="clear" w:color="FFFFFF" w:fill="FFFFFF"/>
        <w:spacing w:line="234" w:lineRule="auto"/>
        <w:ind w:firstLine="720"/>
        <w:jc w:val="both"/>
        <w:rPr>
          <w:color w:val="000000" w:themeColor="text1"/>
          <w:szCs w:val="28"/>
        </w:rPr>
      </w:pPr>
      <w:r>
        <w:rPr>
          <w:color w:val="000000" w:themeColor="text1"/>
          <w:szCs w:val="28"/>
          <w:highlight w:val="white"/>
        </w:rPr>
        <w:t>В целях </w:t>
      </w:r>
      <w:r>
        <w:rPr>
          <w:color w:val="000000" w:themeColor="text1"/>
          <w:szCs w:val="28"/>
        </w:rPr>
        <w:t>увеличения доли злокачественных новообразований, выявленных на ранних стадиях (I-II стадии), и снижения доли злокачественных новообразований в запущенной (IV стадии) Губернатором Иркутской области подписано распоряжение от 22 апреля 2025 года № 147-р «О принятии дополнительных мер по совершенствованию проведения профилактических медицинских осмотров и диспансеризации населения Иркутской области».</w:t>
      </w:r>
    </w:p>
    <w:p w:rsidR="003311B6" w:rsidRDefault="00B11DA6">
      <w:pPr>
        <w:pBdr>
          <w:top w:val="none" w:sz="0" w:space="0" w:color="000000"/>
          <w:left w:val="none" w:sz="0" w:space="0" w:color="000000"/>
          <w:bottom w:val="none" w:sz="0" w:space="0" w:color="000000"/>
          <w:right w:val="none" w:sz="0" w:space="0" w:color="000000"/>
        </w:pBdr>
        <w:shd w:val="clear" w:color="FFFFFF" w:fill="FFFFFF"/>
        <w:spacing w:line="234" w:lineRule="auto"/>
        <w:ind w:firstLine="720"/>
        <w:jc w:val="both"/>
        <w:rPr>
          <w:color w:val="000000" w:themeColor="text1"/>
          <w:szCs w:val="28"/>
        </w:rPr>
      </w:pPr>
      <w:r>
        <w:rPr>
          <w:color w:val="000000" w:themeColor="text1"/>
          <w:szCs w:val="28"/>
        </w:rPr>
        <w:t>Меры, принятые министерством, для выявления онкозаболеваний:</w:t>
      </w:r>
    </w:p>
    <w:p w:rsidR="003311B6" w:rsidRDefault="00B11DA6">
      <w:pPr>
        <w:pStyle w:val="afb"/>
        <w:numPr>
          <w:ilvl w:val="0"/>
          <w:numId w:val="1"/>
        </w:numPr>
        <w:pBdr>
          <w:top w:val="none" w:sz="0" w:space="0" w:color="000000"/>
          <w:left w:val="none" w:sz="0" w:space="0" w:color="000000"/>
          <w:bottom w:val="none" w:sz="0" w:space="0" w:color="000000"/>
          <w:right w:val="none" w:sz="0" w:space="0" w:color="000000"/>
        </w:pBdr>
        <w:shd w:val="clear" w:color="FFFFFF" w:fill="FFFFFF"/>
        <w:spacing w:line="234" w:lineRule="auto"/>
        <w:ind w:left="0" w:firstLine="709"/>
        <w:jc w:val="both"/>
        <w:rPr>
          <w:color w:val="000000" w:themeColor="text1"/>
          <w:szCs w:val="28"/>
        </w:rPr>
      </w:pPr>
      <w:r>
        <w:rPr>
          <w:color w:val="000000" w:themeColor="text1"/>
          <w:szCs w:val="28"/>
        </w:rPr>
        <w:t xml:space="preserve">созданы условия для более доступного прохождения профилактических мероприятий: увеличен график работы медицинских организаций, применяются выездные формы проведения диспансеризации </w:t>
      </w:r>
      <w:r w:rsidR="005C6EB1">
        <w:rPr>
          <w:color w:val="000000" w:themeColor="text1"/>
          <w:szCs w:val="28"/>
        </w:rPr>
        <w:br/>
      </w:r>
      <w:r>
        <w:rPr>
          <w:color w:val="000000" w:themeColor="text1"/>
          <w:szCs w:val="28"/>
        </w:rPr>
        <w:t>в трудовых коллективах, в отдаленных и малонаселенных территориях, обеспечена возможность дистанционной записи;</w:t>
      </w:r>
    </w:p>
    <w:p w:rsidR="003311B6" w:rsidRDefault="00B11DA6">
      <w:pPr>
        <w:pStyle w:val="afb"/>
        <w:numPr>
          <w:ilvl w:val="0"/>
          <w:numId w:val="1"/>
        </w:numPr>
        <w:pBdr>
          <w:top w:val="none" w:sz="0" w:space="0" w:color="000000"/>
          <w:left w:val="none" w:sz="0" w:space="0" w:color="000000"/>
          <w:bottom w:val="none" w:sz="0" w:space="0" w:color="000000"/>
          <w:right w:val="none" w:sz="0" w:space="0" w:color="000000"/>
        </w:pBdr>
        <w:shd w:val="clear" w:color="FFFFFF" w:fill="FFFFFF"/>
        <w:spacing w:line="234" w:lineRule="auto"/>
        <w:ind w:left="0" w:firstLine="709"/>
        <w:jc w:val="both"/>
        <w:rPr>
          <w:color w:val="000000" w:themeColor="text1"/>
          <w:szCs w:val="28"/>
        </w:rPr>
      </w:pPr>
      <w:r>
        <w:rPr>
          <w:color w:val="000000" w:themeColor="text1"/>
          <w:szCs w:val="28"/>
        </w:rPr>
        <w:t xml:space="preserve">для проведения диспансеризации и профилактических медицинских осмотров в населенных пунктах Братского района приобретен передвижной диагностический кабинет цифровой флюорографии </w:t>
      </w:r>
      <w:r>
        <w:rPr>
          <w:color w:val="000000" w:themeColor="text1"/>
          <w:szCs w:val="28"/>
        </w:rPr>
        <w:br/>
        <w:t>и маммографии;</w:t>
      </w:r>
    </w:p>
    <w:p w:rsidR="003311B6" w:rsidRDefault="00B11DA6">
      <w:pPr>
        <w:pStyle w:val="afb"/>
        <w:numPr>
          <w:ilvl w:val="0"/>
          <w:numId w:val="1"/>
        </w:numPr>
        <w:pBdr>
          <w:top w:val="none" w:sz="0" w:space="0" w:color="000000"/>
          <w:left w:val="none" w:sz="0" w:space="0" w:color="000000"/>
          <w:bottom w:val="none" w:sz="0" w:space="0" w:color="000000"/>
          <w:right w:val="none" w:sz="0" w:space="0" w:color="000000"/>
        </w:pBdr>
        <w:shd w:val="clear" w:color="FFFFFF" w:fill="FFFFFF"/>
        <w:spacing w:line="234" w:lineRule="auto"/>
        <w:ind w:left="0" w:firstLine="720"/>
        <w:jc w:val="both"/>
        <w:rPr>
          <w:color w:val="000000" w:themeColor="text1"/>
          <w:szCs w:val="28"/>
        </w:rPr>
      </w:pPr>
      <w:r>
        <w:rPr>
          <w:color w:val="000000" w:themeColor="text1"/>
          <w:szCs w:val="28"/>
        </w:rPr>
        <w:t xml:space="preserve">обеспечено проведение профилактических мероприятий гражданам, проживающим в стационарных организациях социального </w:t>
      </w:r>
      <w:r>
        <w:rPr>
          <w:color w:val="000000" w:themeColor="text1"/>
          <w:szCs w:val="28"/>
        </w:rPr>
        <w:lastRenderedPageBreak/>
        <w:t>обслуживания для престарелых и инвалидов, и для лиц, страдающих психическими расстройствами;</w:t>
      </w:r>
    </w:p>
    <w:p w:rsidR="003311B6" w:rsidRDefault="00B11DA6">
      <w:pPr>
        <w:pStyle w:val="afb"/>
        <w:numPr>
          <w:ilvl w:val="0"/>
          <w:numId w:val="1"/>
        </w:numPr>
        <w:pBdr>
          <w:top w:val="none" w:sz="0" w:space="0" w:color="000000"/>
          <w:left w:val="none" w:sz="0" w:space="0" w:color="000000"/>
          <w:bottom w:val="none" w:sz="0" w:space="0" w:color="000000"/>
          <w:right w:val="none" w:sz="0" w:space="0" w:color="000000"/>
        </w:pBdr>
        <w:shd w:val="clear" w:color="FFFFFF" w:fill="FFFFFF"/>
        <w:spacing w:line="234" w:lineRule="auto"/>
        <w:ind w:left="0" w:firstLine="720"/>
        <w:jc w:val="both"/>
        <w:rPr>
          <w:color w:val="000000" w:themeColor="text1"/>
          <w:szCs w:val="28"/>
        </w:rPr>
      </w:pPr>
      <w:r>
        <w:rPr>
          <w:color w:val="000000" w:themeColor="text1"/>
          <w:szCs w:val="28"/>
        </w:rPr>
        <w:t xml:space="preserve">проводится информационная кампания, направленная </w:t>
      </w:r>
      <w:r>
        <w:rPr>
          <w:color w:val="000000" w:themeColor="text1"/>
          <w:szCs w:val="28"/>
        </w:rPr>
        <w:br/>
        <w:t xml:space="preserve">на повышение осведомленности жителей Иркутской области о значимости профилактических мероприятий, задействованы региональные </w:t>
      </w:r>
      <w:r>
        <w:rPr>
          <w:color w:val="000000" w:themeColor="text1"/>
          <w:szCs w:val="28"/>
        </w:rPr>
        <w:br/>
        <w:t>и муниципальные средства массовой информации, администрации муниципальных образований Иркутской области  в период проведения таких мероприятий</w:t>
      </w:r>
      <w:r w:rsidR="00F166BB">
        <w:rPr>
          <w:color w:val="000000" w:themeColor="text1"/>
          <w:szCs w:val="28"/>
        </w:rPr>
        <w:t>,</w:t>
      </w:r>
      <w:r>
        <w:rPr>
          <w:color w:val="000000" w:themeColor="text1"/>
          <w:szCs w:val="28"/>
        </w:rPr>
        <w:t xml:space="preserve"> как «Ярмарка здоровья» и  «День здоровья - ваш шаг </w:t>
      </w:r>
      <w:r>
        <w:rPr>
          <w:color w:val="000000" w:themeColor="text1"/>
          <w:szCs w:val="28"/>
        </w:rPr>
        <w:br/>
        <w:t>к здоровому образу жизни»;</w:t>
      </w:r>
    </w:p>
    <w:p w:rsidR="003311B6" w:rsidRDefault="00B11DA6">
      <w:pPr>
        <w:pStyle w:val="afb"/>
        <w:numPr>
          <w:ilvl w:val="0"/>
          <w:numId w:val="1"/>
        </w:numPr>
        <w:pBdr>
          <w:top w:val="none" w:sz="0" w:space="0" w:color="000000"/>
          <w:left w:val="none" w:sz="0" w:space="0" w:color="000000"/>
          <w:bottom w:val="none" w:sz="0" w:space="0" w:color="000000"/>
          <w:right w:val="none" w:sz="0" w:space="0" w:color="000000"/>
        </w:pBdr>
        <w:shd w:val="clear" w:color="FFFFFF" w:fill="FFFFFF"/>
        <w:spacing w:line="234" w:lineRule="auto"/>
        <w:ind w:left="0" w:firstLine="720"/>
        <w:jc w:val="both"/>
        <w:rPr>
          <w:color w:val="000000" w:themeColor="text1"/>
          <w:szCs w:val="28"/>
        </w:rPr>
      </w:pPr>
      <w:r>
        <w:rPr>
          <w:color w:val="000000" w:themeColor="text1"/>
          <w:szCs w:val="28"/>
        </w:rPr>
        <w:t>в текущем году в рамках работы передвижного клинико-диагностического центра «Медицинский поезд «Святой Пантелеймон» осмотрено более двух тысяч человек;</w:t>
      </w:r>
    </w:p>
    <w:p w:rsidR="003311B6" w:rsidRDefault="00B11DA6">
      <w:pPr>
        <w:pStyle w:val="afb"/>
        <w:numPr>
          <w:ilvl w:val="0"/>
          <w:numId w:val="1"/>
        </w:numPr>
        <w:pBdr>
          <w:top w:val="none" w:sz="0" w:space="0" w:color="000000"/>
          <w:left w:val="none" w:sz="0" w:space="0" w:color="000000"/>
          <w:bottom w:val="none" w:sz="0" w:space="0" w:color="000000"/>
          <w:right w:val="none" w:sz="0" w:space="0" w:color="000000"/>
        </w:pBdr>
        <w:shd w:val="clear" w:color="FFFFFF" w:fill="FFFFFF"/>
        <w:spacing w:line="234" w:lineRule="auto"/>
        <w:ind w:left="0" w:firstLine="720"/>
        <w:jc w:val="both"/>
        <w:rPr>
          <w:color w:val="000000" w:themeColor="text1"/>
          <w:szCs w:val="28"/>
        </w:rPr>
      </w:pPr>
      <w:r>
        <w:rPr>
          <w:color w:val="000000" w:themeColor="text1"/>
          <w:szCs w:val="28"/>
        </w:rPr>
        <w:t xml:space="preserve"> с целью увеличения охвата жителей Иркутской области профилактическими мероприятиями сформированы поименные списки трудовых коллективов (крупных работодателей) на территориях муниципальных образований Иркутской области, подлежащих профилактическим медицинским осмотрам или диспансеризации определенных групп взрослого населения;</w:t>
      </w:r>
    </w:p>
    <w:p w:rsidR="003311B6" w:rsidRDefault="00B11DA6">
      <w:pPr>
        <w:pStyle w:val="afb"/>
        <w:numPr>
          <w:ilvl w:val="0"/>
          <w:numId w:val="1"/>
        </w:numPr>
        <w:pBdr>
          <w:top w:val="none" w:sz="0" w:space="0" w:color="000000"/>
          <w:left w:val="none" w:sz="0" w:space="0" w:color="000000"/>
          <w:bottom w:val="none" w:sz="0" w:space="0" w:color="000000"/>
          <w:right w:val="none" w:sz="0" w:space="0" w:color="000000"/>
        </w:pBdr>
        <w:shd w:val="clear" w:color="FFFFFF" w:fill="FFFFFF"/>
        <w:spacing w:line="234" w:lineRule="auto"/>
        <w:ind w:left="0" w:firstLine="720"/>
        <w:jc w:val="both"/>
        <w:rPr>
          <w:color w:val="000000" w:themeColor="text1"/>
          <w:szCs w:val="28"/>
        </w:rPr>
      </w:pPr>
      <w:r>
        <w:rPr>
          <w:color w:val="000000" w:themeColor="text1"/>
          <w:szCs w:val="28"/>
        </w:rPr>
        <w:t>определены графики прохождения профилактического обследования с учетом приоритизации, с вниманием на лиц, которые в течение последних двух лет не посещали медицинские организации и не проходили профилактические мероприятия;</w:t>
      </w:r>
    </w:p>
    <w:p w:rsidR="003311B6" w:rsidRDefault="00B11DA6">
      <w:pPr>
        <w:pStyle w:val="afb"/>
        <w:numPr>
          <w:ilvl w:val="0"/>
          <w:numId w:val="1"/>
        </w:numPr>
        <w:pBdr>
          <w:top w:val="none" w:sz="0" w:space="0" w:color="000000"/>
          <w:left w:val="none" w:sz="0" w:space="0" w:color="000000"/>
          <w:bottom w:val="none" w:sz="0" w:space="0" w:color="000000"/>
          <w:right w:val="none" w:sz="0" w:space="0" w:color="000000"/>
        </w:pBdr>
        <w:shd w:val="clear" w:color="FFFFFF" w:fill="FFFFFF"/>
        <w:spacing w:line="234" w:lineRule="auto"/>
        <w:ind w:left="0" w:firstLine="720"/>
        <w:jc w:val="both"/>
        <w:rPr>
          <w:color w:val="000000" w:themeColor="text1"/>
          <w:szCs w:val="28"/>
        </w:rPr>
      </w:pPr>
      <w:r>
        <w:rPr>
          <w:color w:val="000000" w:themeColor="text1"/>
          <w:szCs w:val="28"/>
        </w:rPr>
        <w:t>организована запись на профилактические мероприятия через региональный портал государственных услуг;</w:t>
      </w:r>
    </w:p>
    <w:p w:rsidR="003311B6" w:rsidRDefault="00B11DA6">
      <w:pPr>
        <w:pStyle w:val="afb"/>
        <w:numPr>
          <w:ilvl w:val="0"/>
          <w:numId w:val="1"/>
        </w:numPr>
        <w:pBdr>
          <w:top w:val="none" w:sz="0" w:space="0" w:color="000000"/>
          <w:left w:val="none" w:sz="0" w:space="0" w:color="000000"/>
          <w:bottom w:val="none" w:sz="0" w:space="0" w:color="000000"/>
          <w:right w:val="none" w:sz="0" w:space="0" w:color="000000"/>
        </w:pBdr>
        <w:shd w:val="clear" w:color="FFFFFF" w:fill="FFFFFF"/>
        <w:spacing w:line="234" w:lineRule="auto"/>
        <w:ind w:left="0" w:firstLine="720"/>
        <w:jc w:val="both"/>
        <w:rPr>
          <w:color w:val="000000" w:themeColor="text1"/>
          <w:szCs w:val="28"/>
        </w:rPr>
      </w:pPr>
      <w:r>
        <w:rPr>
          <w:color w:val="000000" w:themeColor="text1"/>
          <w:szCs w:val="28"/>
        </w:rPr>
        <w:t xml:space="preserve">организовано проведение еженедельного мониторинга </w:t>
      </w:r>
      <w:proofErr w:type="spellStart"/>
      <w:r>
        <w:rPr>
          <w:color w:val="000000" w:themeColor="text1"/>
          <w:szCs w:val="28"/>
        </w:rPr>
        <w:t>проактивного</w:t>
      </w:r>
      <w:proofErr w:type="spellEnd"/>
      <w:r>
        <w:rPr>
          <w:color w:val="000000" w:themeColor="text1"/>
          <w:szCs w:val="28"/>
        </w:rPr>
        <w:t xml:space="preserve"> приглашения </w:t>
      </w:r>
      <w:proofErr w:type="spellStart"/>
      <w:r>
        <w:rPr>
          <w:color w:val="000000" w:themeColor="text1"/>
          <w:szCs w:val="28"/>
        </w:rPr>
        <w:t>колл</w:t>
      </w:r>
      <w:proofErr w:type="spellEnd"/>
      <w:r>
        <w:rPr>
          <w:color w:val="000000" w:themeColor="text1"/>
          <w:szCs w:val="28"/>
        </w:rPr>
        <w:t>-центрами медицинских организаций, граждан, подлежащих в текущем году прохождени</w:t>
      </w:r>
      <w:r w:rsidR="00F166BB">
        <w:rPr>
          <w:color w:val="000000" w:themeColor="text1"/>
          <w:szCs w:val="28"/>
        </w:rPr>
        <w:t>ю профилактических мероприятий.</w:t>
      </w:r>
    </w:p>
    <w:p w:rsidR="003311B6" w:rsidRDefault="00B11DA6">
      <w:pPr>
        <w:spacing w:line="234" w:lineRule="auto"/>
        <w:ind w:firstLine="708"/>
        <w:jc w:val="both"/>
        <w:rPr>
          <w:szCs w:val="28"/>
        </w:rPr>
      </w:pPr>
      <w:r>
        <w:rPr>
          <w:szCs w:val="28"/>
        </w:rPr>
        <w:t xml:space="preserve">В Иркутской области в период с 2020 года наблюдается статистически значимый рост выявления онкологических заболеваний. За 5 летний период </w:t>
      </w:r>
      <w:r w:rsidR="00F166BB">
        <w:rPr>
          <w:szCs w:val="28"/>
        </w:rPr>
        <w:t>количество</w:t>
      </w:r>
      <w:r>
        <w:rPr>
          <w:szCs w:val="28"/>
        </w:rPr>
        <w:t xml:space="preserve"> </w:t>
      </w:r>
      <w:r w:rsidR="00F166BB">
        <w:rPr>
          <w:szCs w:val="28"/>
        </w:rPr>
        <w:t xml:space="preserve">выявленных </w:t>
      </w:r>
      <w:r>
        <w:rPr>
          <w:szCs w:val="28"/>
        </w:rPr>
        <w:t>онкологических больных в регионе увеличил</w:t>
      </w:r>
      <w:r w:rsidR="00F166BB">
        <w:rPr>
          <w:szCs w:val="28"/>
        </w:rPr>
        <w:t>ось</w:t>
      </w:r>
      <w:r>
        <w:rPr>
          <w:szCs w:val="28"/>
        </w:rPr>
        <w:t xml:space="preserve"> на 19,97% (с 10 428 случаев до 12 511 случаев). В 2024 году </w:t>
      </w:r>
      <w:r>
        <w:rPr>
          <w:bCs/>
          <w:iCs/>
          <w:color w:val="000000"/>
          <w:szCs w:val="28"/>
        </w:rPr>
        <w:t xml:space="preserve">показатель заболеваемости злокачественными новообразованиями на 100 тыс. населения Иркутской области составил 538,73 </w:t>
      </w:r>
      <w:r>
        <w:rPr>
          <w:szCs w:val="28"/>
        </w:rPr>
        <w:t xml:space="preserve">на 100 тыс. населения </w:t>
      </w:r>
      <w:r>
        <w:rPr>
          <w:bCs/>
          <w:iCs/>
          <w:color w:val="000000"/>
          <w:szCs w:val="28"/>
        </w:rPr>
        <w:t>(РФ - 461,1, СФО - 513,9)</w:t>
      </w:r>
      <w:r>
        <w:rPr>
          <w:szCs w:val="28"/>
        </w:rPr>
        <w:t>,</w:t>
      </w:r>
      <w:r w:rsidR="00F166BB">
        <w:rPr>
          <w:szCs w:val="28"/>
        </w:rPr>
        <w:t xml:space="preserve"> </w:t>
      </w:r>
      <w:r>
        <w:rPr>
          <w:szCs w:val="28"/>
        </w:rPr>
        <w:t xml:space="preserve">это на 16,83% больше, чем в среднем по России, и на 4,83% больше по сравнению с СФО. </w:t>
      </w:r>
      <w:r>
        <w:rPr>
          <w:szCs w:val="28"/>
        </w:rPr>
        <w:tab/>
        <w:t xml:space="preserve"> </w:t>
      </w:r>
    </w:p>
    <w:p w:rsidR="003311B6" w:rsidRDefault="00B11DA6">
      <w:pPr>
        <w:spacing w:line="234" w:lineRule="auto"/>
        <w:ind w:firstLine="709"/>
        <w:jc w:val="both"/>
        <w:rPr>
          <w:szCs w:val="28"/>
        </w:rPr>
      </w:pPr>
      <w:r>
        <w:rPr>
          <w:szCs w:val="28"/>
        </w:rPr>
        <w:t xml:space="preserve">В 2024 году злокачественных новообразований было диагностировано </w:t>
      </w:r>
      <w:r>
        <w:rPr>
          <w:szCs w:val="28"/>
        </w:rPr>
        <w:br/>
        <w:t xml:space="preserve">в I стадии заболевания - 33,51% (РФ - 37,2%, СФО - 34,6%), во II стадии - </w:t>
      </w:r>
      <w:r>
        <w:rPr>
          <w:szCs w:val="28"/>
        </w:rPr>
        <w:br/>
        <w:t>21,8 % (РФ - 24,2%, СФО 25,0%), в III стадии - 14,03% (РФ - 15,8%, СФО 15,9%) и в I</w:t>
      </w:r>
      <w:r>
        <w:rPr>
          <w:szCs w:val="28"/>
          <w:lang w:val="en-US"/>
        </w:rPr>
        <w:t>V</w:t>
      </w:r>
      <w:r>
        <w:rPr>
          <w:szCs w:val="28"/>
        </w:rPr>
        <w:t xml:space="preserve"> стадии - 27,3% (РФ - 18,5%, СФО - 20,3%). Доля злокачественных новообразований, диагностированных на ранних стадиях </w:t>
      </w:r>
      <w:r>
        <w:rPr>
          <w:szCs w:val="28"/>
        </w:rPr>
        <w:br/>
        <w:t xml:space="preserve">(I-II), с 2020 года увеличилась (с 49,85% до 55,3%) на 10,93%. </w:t>
      </w:r>
      <w:r>
        <w:rPr>
          <w:szCs w:val="28"/>
        </w:rPr>
        <w:br/>
        <w:t xml:space="preserve">Также за 5-летний период отмечается положительная динамика показателя доля выявленных злокачественных новообразований визуальных локализаций </w:t>
      </w:r>
      <w:r>
        <w:rPr>
          <w:szCs w:val="28"/>
        </w:rPr>
        <w:br/>
        <w:t>на 1 стадиях с 43,86% в 2020 году до 51,68% в 2024 году, произошел рост показателя на 17,82%.</w:t>
      </w:r>
    </w:p>
    <w:p w:rsidR="003311B6" w:rsidRDefault="00B11DA6">
      <w:pPr>
        <w:spacing w:line="234" w:lineRule="auto"/>
        <w:ind w:firstLine="720"/>
        <w:jc w:val="both"/>
        <w:rPr>
          <w:szCs w:val="28"/>
        </w:rPr>
      </w:pPr>
      <w:r>
        <w:rPr>
          <w:szCs w:val="28"/>
        </w:rPr>
        <w:lastRenderedPageBreak/>
        <w:t xml:space="preserve">На конец 2024 года под диспансерным наблюдением </w:t>
      </w:r>
      <w:r>
        <w:rPr>
          <w:szCs w:val="28"/>
        </w:rPr>
        <w:br/>
        <w:t xml:space="preserve">со злокачественными новообразованиями состояли 71 033 пациента, из них </w:t>
      </w:r>
      <w:r>
        <w:rPr>
          <w:szCs w:val="28"/>
        </w:rPr>
        <w:br/>
        <w:t>42 621 пациент</w:t>
      </w:r>
      <w:r w:rsidR="0051542D">
        <w:rPr>
          <w:szCs w:val="28"/>
        </w:rPr>
        <w:t>ов</w:t>
      </w:r>
      <w:r>
        <w:rPr>
          <w:szCs w:val="28"/>
        </w:rPr>
        <w:t xml:space="preserve"> находились под наблюдением в онкологических кабинетах медицинских организаций Иркутской области 5 лет и более. Доля пациентов, состоящих под диспансерным наблюдением 5 лет и более</w:t>
      </w:r>
      <w:r w:rsidR="0051542D">
        <w:rPr>
          <w:szCs w:val="28"/>
        </w:rPr>
        <w:t>,</w:t>
      </w:r>
      <w:r>
        <w:rPr>
          <w:szCs w:val="28"/>
        </w:rPr>
        <w:t xml:space="preserve"> по основным локализациям в 2024 году в Иркутской области составила 60,01% (РФ - 58,8%), у детей в возрасте 0-14 лет - 50,91%, 0-17 лет - 56,57%. Показатель имеет положительную динамику, рост данного показателя с 2020 года на 7,35% </w:t>
      </w:r>
      <w:r>
        <w:rPr>
          <w:szCs w:val="28"/>
        </w:rPr>
        <w:br/>
        <w:t xml:space="preserve">и по сравнению с 2023 годом на 2,80% (2023 год - 58,46%, 2020 год - 55,9%). </w:t>
      </w:r>
    </w:p>
    <w:p w:rsidR="003311B6" w:rsidRDefault="00B11DA6">
      <w:pPr>
        <w:tabs>
          <w:tab w:val="left" w:pos="7200"/>
        </w:tabs>
        <w:spacing w:line="234" w:lineRule="auto"/>
        <w:ind w:firstLine="720"/>
        <w:jc w:val="both"/>
        <w:rPr>
          <w:szCs w:val="28"/>
        </w:rPr>
      </w:pPr>
      <w:r>
        <w:rPr>
          <w:szCs w:val="28"/>
        </w:rPr>
        <w:t xml:space="preserve">По данным </w:t>
      </w:r>
      <w:r>
        <w:rPr>
          <w:rStyle w:val="organictextcontentspan"/>
          <w:bCs/>
          <w:szCs w:val="28"/>
        </w:rPr>
        <w:t>Федеральной</w:t>
      </w:r>
      <w:r>
        <w:rPr>
          <w:rStyle w:val="organictextcontentspan"/>
          <w:szCs w:val="28"/>
        </w:rPr>
        <w:t xml:space="preserve"> </w:t>
      </w:r>
      <w:r>
        <w:rPr>
          <w:rStyle w:val="organictextcontentspan"/>
          <w:bCs/>
          <w:szCs w:val="28"/>
        </w:rPr>
        <w:t>службы</w:t>
      </w:r>
      <w:r>
        <w:rPr>
          <w:rStyle w:val="organictextcontentspan"/>
          <w:szCs w:val="28"/>
        </w:rPr>
        <w:t xml:space="preserve"> </w:t>
      </w:r>
      <w:r>
        <w:rPr>
          <w:rStyle w:val="organictextcontentspan"/>
          <w:bCs/>
          <w:szCs w:val="28"/>
        </w:rPr>
        <w:t>государственной</w:t>
      </w:r>
      <w:r>
        <w:rPr>
          <w:rStyle w:val="organictextcontentspan"/>
          <w:szCs w:val="28"/>
        </w:rPr>
        <w:t xml:space="preserve"> </w:t>
      </w:r>
      <w:r>
        <w:rPr>
          <w:rStyle w:val="organictextcontentspan"/>
          <w:bCs/>
          <w:szCs w:val="28"/>
        </w:rPr>
        <w:t>статистики</w:t>
      </w:r>
      <w:r>
        <w:rPr>
          <w:szCs w:val="28"/>
        </w:rPr>
        <w:t xml:space="preserve"> </w:t>
      </w:r>
      <w:r>
        <w:rPr>
          <w:szCs w:val="28"/>
        </w:rPr>
        <w:br/>
        <w:t xml:space="preserve">за 2023 год по смертности от новообразований Иркутская область </w:t>
      </w:r>
      <w:r>
        <w:rPr>
          <w:szCs w:val="28"/>
        </w:rPr>
        <w:br/>
        <w:t xml:space="preserve">(204,84 на 100 тыс. населения) занимает 40 место среди субъектов Российской Федерации и третье место в Сибирском федеральном округе после Республики Тыва (107,88 на 100 тыс. населения), Республики Алтай </w:t>
      </w:r>
      <w:r>
        <w:rPr>
          <w:szCs w:val="28"/>
        </w:rPr>
        <w:br/>
        <w:t xml:space="preserve">(161,32 на 100 тыс. населения). </w:t>
      </w:r>
    </w:p>
    <w:p w:rsidR="003311B6" w:rsidRDefault="00B11DA6">
      <w:pPr>
        <w:tabs>
          <w:tab w:val="left" w:pos="7200"/>
        </w:tabs>
        <w:spacing w:line="234" w:lineRule="auto"/>
        <w:ind w:firstLine="720"/>
        <w:jc w:val="both"/>
        <w:rPr>
          <w:szCs w:val="28"/>
        </w:rPr>
      </w:pPr>
      <w:r>
        <w:rPr>
          <w:szCs w:val="28"/>
        </w:rPr>
        <w:t xml:space="preserve">В 2024 году наблюдается незначительное снижение уровня смертности </w:t>
      </w:r>
      <w:r>
        <w:rPr>
          <w:szCs w:val="28"/>
        </w:rPr>
        <w:br/>
        <w:t>от злокачественных новообразований по сравнению с 2020 годом на 0,39%</w:t>
      </w:r>
      <w:r>
        <w:rPr>
          <w:szCs w:val="28"/>
        </w:rPr>
        <w:br/>
        <w:t xml:space="preserve"> и рост по сравнению с прошлым годом на 6,42%. </w:t>
      </w:r>
    </w:p>
    <w:p w:rsidR="003311B6" w:rsidRDefault="00B11DA6">
      <w:pPr>
        <w:tabs>
          <w:tab w:val="left" w:pos="7200"/>
        </w:tabs>
        <w:spacing w:line="234" w:lineRule="auto"/>
        <w:ind w:firstLine="720"/>
        <w:jc w:val="both"/>
        <w:rPr>
          <w:rStyle w:val="WW8Num1z2"/>
        </w:rPr>
      </w:pPr>
      <w:r>
        <w:rPr>
          <w:szCs w:val="28"/>
        </w:rPr>
        <w:t>В 2024 году от новообразований, в том числе от злокачественных, в Иркутской области умерло 5 071 человек (</w:t>
      </w:r>
      <w:r w:rsidR="0051542D">
        <w:rPr>
          <w:szCs w:val="28"/>
        </w:rPr>
        <w:t xml:space="preserve">2 586 </w:t>
      </w:r>
      <w:r>
        <w:rPr>
          <w:szCs w:val="28"/>
        </w:rPr>
        <w:t xml:space="preserve">мужчин и 2 485 женщин), в том числе 566 не состояли на учете в онкологическом учреждении. Показатель смертности от новообразований составил 218,0 случаев на 100 тыс. населения. Отмечается устойчивая тенденция к уменьшению показателей смертности от онкологических заболеваний молочной железы, желудка, трахеи, бронхов и легких. Показатель одногодичной летальности </w:t>
      </w:r>
      <w:r>
        <w:rPr>
          <w:szCs w:val="28"/>
        </w:rPr>
        <w:br/>
        <w:t xml:space="preserve">больных со злокачественными заболеваниями по сравнению с 2023 годом снизился на -3,84% и в 2024 году составил 22,5%, но по-прежнему остается высоким по сравнению с другими регионами Российской Федерации. По итогам 11 месяцев 2025 года уровень одногодичной летальности больных со злокачественными заболеваниями имеет тенденцию к снижению </w:t>
      </w:r>
      <w:proofErr w:type="gramStart"/>
      <w:r>
        <w:rPr>
          <w:szCs w:val="28"/>
        </w:rPr>
        <w:t>и  составляет</w:t>
      </w:r>
      <w:proofErr w:type="gramEnd"/>
      <w:r>
        <w:rPr>
          <w:szCs w:val="28"/>
        </w:rPr>
        <w:t xml:space="preserve"> 22,3%</w:t>
      </w:r>
      <w:r w:rsidR="005C0AF1">
        <w:rPr>
          <w:szCs w:val="28"/>
        </w:rPr>
        <w:t>. З</w:t>
      </w:r>
      <w:r>
        <w:rPr>
          <w:rStyle w:val="WW8Num1z2"/>
          <w:szCs w:val="28"/>
        </w:rPr>
        <w:t xml:space="preserve">а 11 месяцев 2025 года </w:t>
      </w:r>
      <w:r>
        <w:rPr>
          <w:szCs w:val="28"/>
        </w:rPr>
        <w:t>в сравнении с аналогичным периодом 2024 года отмечается снижение показателя смертности от новообразований на 3,2%</w:t>
      </w:r>
      <w:r>
        <w:rPr>
          <w:rStyle w:val="WW8Num1z2"/>
          <w:szCs w:val="28"/>
        </w:rPr>
        <w:t xml:space="preserve">. </w:t>
      </w:r>
    </w:p>
    <w:p w:rsidR="003311B6" w:rsidRDefault="00B11DA6">
      <w:pPr>
        <w:tabs>
          <w:tab w:val="left" w:pos="7200"/>
        </w:tabs>
        <w:spacing w:line="234" w:lineRule="auto"/>
        <w:ind w:firstLine="720"/>
        <w:jc w:val="both"/>
        <w:rPr>
          <w:color w:val="FF0000"/>
        </w:rPr>
      </w:pPr>
      <w:r>
        <w:rPr>
          <w:rStyle w:val="WW8Num1z2"/>
          <w:szCs w:val="28"/>
        </w:rPr>
        <w:t>По итогам актуализации региональная программа Иркутской области «Борьба с онкологическими заболеваниями» на 2026</w:t>
      </w:r>
      <w:r w:rsidR="0051542D">
        <w:rPr>
          <w:rStyle w:val="WW8Num1z2"/>
          <w:szCs w:val="28"/>
        </w:rPr>
        <w:t xml:space="preserve"> год будет утверждена нормативным </w:t>
      </w:r>
      <w:r>
        <w:rPr>
          <w:rStyle w:val="WW8Num1z2"/>
          <w:szCs w:val="28"/>
        </w:rPr>
        <w:t>правовым актом, то есть постановлением Правительства Иркутской области</w:t>
      </w:r>
      <w:r>
        <w:rPr>
          <w:rStyle w:val="fontstyle01"/>
          <w:rFonts w:ascii="Times New Roman" w:hAnsi="Times New Roman"/>
          <w:sz w:val="28"/>
          <w:szCs w:val="28"/>
        </w:rPr>
        <w:t>.</w:t>
      </w:r>
    </w:p>
    <w:p w:rsidR="003311B6" w:rsidRDefault="00B11DA6">
      <w:pPr>
        <w:tabs>
          <w:tab w:val="left" w:pos="7200"/>
        </w:tabs>
        <w:spacing w:before="120" w:line="234" w:lineRule="auto"/>
        <w:ind w:firstLine="720"/>
        <w:jc w:val="both"/>
        <w:rPr>
          <w:b/>
          <w:bCs/>
          <w:szCs w:val="28"/>
        </w:rPr>
      </w:pPr>
      <w:r>
        <w:rPr>
          <w:b/>
          <w:bCs/>
          <w:szCs w:val="28"/>
        </w:rPr>
        <w:t>По пункту 3.1 представления.</w:t>
      </w:r>
    </w:p>
    <w:p w:rsidR="003311B6" w:rsidRDefault="00B11DA6">
      <w:pPr>
        <w:pStyle w:val="afc"/>
        <w:spacing w:line="234" w:lineRule="auto"/>
        <w:jc w:val="both"/>
        <w:rPr>
          <w:rFonts w:eastAsia="Times New Roman"/>
          <w:sz w:val="28"/>
          <w:szCs w:val="28"/>
        </w:rPr>
      </w:pPr>
      <w:r>
        <w:rPr>
          <w:sz w:val="28"/>
          <w:szCs w:val="28"/>
        </w:rPr>
        <w:tab/>
        <w:t xml:space="preserve">В целях снижения числа запущенных случаев злокачественных новообразований министерством дорабатывается распоряжение, регламентирующее алгоритм проведения </w:t>
      </w:r>
      <w:r>
        <w:rPr>
          <w:rFonts w:eastAsia="Times New Roman"/>
          <w:sz w:val="28"/>
          <w:szCs w:val="28"/>
        </w:rPr>
        <w:t>анализа и разбора диагностических ошибок и причин запущенности онкологических заболеваний врачами-специалистами первичных онкологических кабинетов, центров амбулаторной онкологической помощи и ГБУЗ «Областной онкологический диспансер».</w:t>
      </w:r>
      <w:r>
        <w:rPr>
          <w:sz w:val="28"/>
          <w:szCs w:val="28"/>
        </w:rPr>
        <w:t xml:space="preserve"> </w:t>
      </w:r>
      <w:r>
        <w:rPr>
          <w:rFonts w:eastAsia="Times New Roman"/>
          <w:sz w:val="28"/>
          <w:szCs w:val="28"/>
        </w:rPr>
        <w:t xml:space="preserve"> </w:t>
      </w:r>
    </w:p>
    <w:p w:rsidR="00006E28" w:rsidRDefault="00006E28">
      <w:pPr>
        <w:pStyle w:val="afc"/>
        <w:spacing w:line="234" w:lineRule="auto"/>
        <w:jc w:val="both"/>
        <w:rPr>
          <w:rFonts w:eastAsia="Times New Roman"/>
          <w:sz w:val="28"/>
          <w:szCs w:val="28"/>
        </w:rPr>
      </w:pPr>
    </w:p>
    <w:p w:rsidR="003311B6" w:rsidRDefault="00B11DA6">
      <w:pPr>
        <w:tabs>
          <w:tab w:val="left" w:pos="7200"/>
        </w:tabs>
        <w:spacing w:before="120" w:line="234" w:lineRule="auto"/>
        <w:ind w:firstLine="720"/>
        <w:jc w:val="both"/>
        <w:rPr>
          <w:b/>
          <w:bCs/>
          <w:szCs w:val="28"/>
        </w:rPr>
      </w:pPr>
      <w:r>
        <w:rPr>
          <w:b/>
          <w:bCs/>
          <w:szCs w:val="28"/>
        </w:rPr>
        <w:lastRenderedPageBreak/>
        <w:t>По пункту 3.2 представления.</w:t>
      </w:r>
    </w:p>
    <w:p w:rsidR="003311B6" w:rsidRDefault="005C0AF1">
      <w:pPr>
        <w:tabs>
          <w:tab w:val="left" w:pos="7200"/>
        </w:tabs>
        <w:spacing w:line="234" w:lineRule="auto"/>
        <w:ind w:firstLine="720"/>
        <w:jc w:val="both"/>
      </w:pPr>
      <w:r>
        <w:rPr>
          <w:rStyle w:val="WW8Num1z2"/>
          <w:szCs w:val="28"/>
        </w:rPr>
        <w:t>П</w:t>
      </w:r>
      <w:r w:rsidR="00B11DA6">
        <w:rPr>
          <w:rStyle w:val="WW8Num1z2"/>
          <w:szCs w:val="28"/>
        </w:rPr>
        <w:t xml:space="preserve">о итогам актуализации </w:t>
      </w:r>
      <w:r w:rsidR="00B11DA6">
        <w:t>региональный порядок маршрутизации пациентов с онкологическими заболеваниями</w:t>
      </w:r>
      <w:r w:rsidR="00B11DA6">
        <w:rPr>
          <w:rStyle w:val="WW8Num1z2"/>
          <w:szCs w:val="28"/>
        </w:rPr>
        <w:t xml:space="preserve"> на 2026 год будет утвержден министерства здравоохранения Иркутской области</w:t>
      </w:r>
      <w:r w:rsidR="00B11DA6">
        <w:rPr>
          <w:rStyle w:val="fontstyle01"/>
          <w:rFonts w:ascii="Times New Roman" w:hAnsi="Times New Roman"/>
          <w:sz w:val="28"/>
          <w:szCs w:val="28"/>
        </w:rPr>
        <w:t xml:space="preserve">. </w:t>
      </w:r>
    </w:p>
    <w:p w:rsidR="003311B6" w:rsidRDefault="005C0AF1">
      <w:pPr>
        <w:tabs>
          <w:tab w:val="left" w:pos="7200"/>
        </w:tabs>
        <w:spacing w:line="234" w:lineRule="auto"/>
        <w:ind w:firstLine="720"/>
        <w:jc w:val="both"/>
        <w:rPr>
          <w:szCs w:val="28"/>
          <w:highlight w:val="white"/>
        </w:rPr>
      </w:pPr>
      <w:r>
        <w:rPr>
          <w:color w:val="000000"/>
          <w:szCs w:val="28"/>
          <w:highlight w:val="white"/>
        </w:rPr>
        <w:t>П</w:t>
      </w:r>
      <w:r w:rsidR="00B11DA6">
        <w:rPr>
          <w:color w:val="000000"/>
          <w:szCs w:val="28"/>
          <w:highlight w:val="white"/>
        </w:rPr>
        <w:t>роект распоряжения министерства по организации медицинской помощи пациентам с заболеваниями системы крови в Иркутской области дорабатывается с учетом замечаний ФГБУ «НМИЦ гематологии» Минздрава России.</w:t>
      </w:r>
    </w:p>
    <w:p w:rsidR="003311B6" w:rsidRDefault="00B11DA6">
      <w:pPr>
        <w:tabs>
          <w:tab w:val="left" w:pos="7200"/>
        </w:tabs>
        <w:spacing w:line="234" w:lineRule="auto"/>
        <w:ind w:firstLine="720"/>
        <w:jc w:val="both"/>
        <w:rPr>
          <w:szCs w:val="28"/>
        </w:rPr>
      </w:pPr>
      <w:r>
        <w:rPr>
          <w:szCs w:val="28"/>
        </w:rPr>
        <w:t xml:space="preserve">В целях обеспечения качества и достоверности данных, получаемых по результатам мониторингов реализации плана мероприятий региональная программы Иркутской области «Борьба с онкологическими заболеваниями», разрабатывается соответствующий алгоритм предоставления отчетных данных, который будет утвержден распоряжением министерства. </w:t>
      </w:r>
    </w:p>
    <w:p w:rsidR="003311B6" w:rsidRDefault="00B11DA6">
      <w:pPr>
        <w:tabs>
          <w:tab w:val="left" w:pos="7200"/>
        </w:tabs>
        <w:spacing w:before="120" w:line="234" w:lineRule="auto"/>
        <w:ind w:firstLine="720"/>
        <w:jc w:val="both"/>
        <w:rPr>
          <w:b/>
          <w:bCs/>
          <w:szCs w:val="28"/>
        </w:rPr>
      </w:pPr>
      <w:r>
        <w:rPr>
          <w:b/>
          <w:bCs/>
          <w:szCs w:val="28"/>
        </w:rPr>
        <w:t>По пункту 3.3 представления.</w:t>
      </w:r>
    </w:p>
    <w:p w:rsidR="003311B6" w:rsidRDefault="00B11DA6">
      <w:pPr>
        <w:spacing w:line="234" w:lineRule="auto"/>
        <w:ind w:firstLine="708"/>
        <w:jc w:val="both"/>
        <w:rPr>
          <w:szCs w:val="28"/>
        </w:rPr>
      </w:pPr>
      <w:r>
        <w:rPr>
          <w:szCs w:val="28"/>
        </w:rPr>
        <w:t xml:space="preserve">В текущем году в целях реализации мероприятий усилен контроль прежде всего за проведением </w:t>
      </w:r>
      <w:proofErr w:type="spellStart"/>
      <w:r>
        <w:rPr>
          <w:szCs w:val="28"/>
        </w:rPr>
        <w:t>скринингов</w:t>
      </w:r>
      <w:proofErr w:type="spellEnd"/>
      <w:r>
        <w:rPr>
          <w:szCs w:val="28"/>
        </w:rPr>
        <w:t>.</w:t>
      </w:r>
    </w:p>
    <w:p w:rsidR="003311B6" w:rsidRDefault="00B11DA6">
      <w:pPr>
        <w:spacing w:line="234" w:lineRule="auto"/>
        <w:ind w:firstLine="708"/>
        <w:jc w:val="both"/>
        <w:rPr>
          <w:szCs w:val="28"/>
        </w:rPr>
      </w:pPr>
      <w:r>
        <w:rPr>
          <w:szCs w:val="28"/>
        </w:rPr>
        <w:t>Главным внештатным специалистом</w:t>
      </w:r>
      <w:r w:rsidR="005C0AF1">
        <w:rPr>
          <w:szCs w:val="28"/>
        </w:rPr>
        <w:t>-</w:t>
      </w:r>
      <w:r>
        <w:rPr>
          <w:szCs w:val="28"/>
        </w:rPr>
        <w:t xml:space="preserve">онкологом министерства здравоохранения Иркутской области обеспечен контроль организационно-методического сопровождения мероприятий, направленных на скрининг злокачественных новообразований в рамках профилактических медицинских осмотров и диспансеризации определенных групп взрослого населения. Также совместно с Территориальным фондом обязательного медицинского страхования Иркутской области и с привлечением экспертов страховых медицинских организаций обеспечен регулярный контроль за качеством скрининга злокачественных новообразований. </w:t>
      </w:r>
    </w:p>
    <w:p w:rsidR="003311B6" w:rsidRDefault="00B11DA6">
      <w:pPr>
        <w:spacing w:line="234" w:lineRule="auto"/>
        <w:ind w:firstLine="708"/>
        <w:jc w:val="both"/>
        <w:rPr>
          <w:szCs w:val="28"/>
        </w:rPr>
      </w:pPr>
      <w:r>
        <w:rPr>
          <w:szCs w:val="28"/>
        </w:rPr>
        <w:t xml:space="preserve">В министерстве здравоохранения проводятся совещания по вопросам разбора запущенных случаев онкологических заболеваний визуальных локализаций, по итогам которых руководителям поручено принять дополнительные меры по обеспечению контроля за результатами лабораторных </w:t>
      </w:r>
      <w:proofErr w:type="spellStart"/>
      <w:r>
        <w:rPr>
          <w:szCs w:val="28"/>
        </w:rPr>
        <w:t>скринингов</w:t>
      </w:r>
      <w:proofErr w:type="spellEnd"/>
      <w:r>
        <w:rPr>
          <w:szCs w:val="28"/>
        </w:rPr>
        <w:t xml:space="preserve"> злокачественных новообразований визуальных локализаций, своевременного информирования пациентов о результатах </w:t>
      </w:r>
      <w:r w:rsidR="005C6EB1">
        <w:rPr>
          <w:szCs w:val="28"/>
        </w:rPr>
        <w:br/>
      </w:r>
      <w:r>
        <w:rPr>
          <w:szCs w:val="28"/>
        </w:rPr>
        <w:t>и вызов их для дообследования, а также дополнительному обучению акушерок смотровых кабинетов и врачей-гинекологов на базе ГБУЗ «Областной онкологический диспансер» методике взятия мазка для жидкостной цитологии и традиционной цитологии.</w:t>
      </w:r>
    </w:p>
    <w:p w:rsidR="003311B6" w:rsidRDefault="00B11DA6">
      <w:pPr>
        <w:spacing w:line="234" w:lineRule="auto"/>
        <w:ind w:firstLine="708"/>
        <w:jc w:val="both"/>
        <w:rPr>
          <w:szCs w:val="28"/>
        </w:rPr>
      </w:pPr>
      <w:r>
        <w:rPr>
          <w:szCs w:val="28"/>
        </w:rPr>
        <w:t xml:space="preserve">Также организована работа с медицинскими организациями области по корректному заполнению учетной формы медицинской документации № 131/у «Карта учета профилактического медицинского осмотра (диспансеризации)». </w:t>
      </w:r>
    </w:p>
    <w:p w:rsidR="003311B6" w:rsidRDefault="00B11DA6">
      <w:pPr>
        <w:spacing w:line="234" w:lineRule="auto"/>
        <w:ind w:firstLine="708"/>
        <w:jc w:val="both"/>
        <w:rPr>
          <w:szCs w:val="28"/>
        </w:rPr>
      </w:pPr>
      <w:r>
        <w:rPr>
          <w:szCs w:val="28"/>
        </w:rPr>
        <w:t xml:space="preserve">Постоянно ведется внедрение программного обеспечения на основе технологий искусственного интеллекта для первой интерпретации цифровых </w:t>
      </w:r>
      <w:r w:rsidR="001F2E60">
        <w:rPr>
          <w:szCs w:val="28"/>
        </w:rPr>
        <w:t>снимков</w:t>
      </w:r>
      <w:r>
        <w:rPr>
          <w:szCs w:val="28"/>
        </w:rPr>
        <w:t xml:space="preserve"> при сохранении практики второго описания рентгеновских изображений врачом-рентгенологом.</w:t>
      </w:r>
    </w:p>
    <w:p w:rsidR="003311B6" w:rsidRDefault="00B11DA6">
      <w:pPr>
        <w:spacing w:line="234" w:lineRule="auto"/>
        <w:ind w:firstLine="708"/>
        <w:jc w:val="both"/>
        <w:rPr>
          <w:szCs w:val="28"/>
        </w:rPr>
      </w:pPr>
      <w:r>
        <w:rPr>
          <w:szCs w:val="28"/>
        </w:rPr>
        <w:t xml:space="preserve">Изображения исследований поступают в центральный архив медицинских изображений с цифровых </w:t>
      </w:r>
      <w:r w:rsidR="001F2E60">
        <w:rPr>
          <w:szCs w:val="28"/>
        </w:rPr>
        <w:t xml:space="preserve">аппаратов </w:t>
      </w:r>
      <w:r>
        <w:rPr>
          <w:szCs w:val="28"/>
        </w:rPr>
        <w:t xml:space="preserve">и в дальнейшем </w:t>
      </w:r>
      <w:r>
        <w:rPr>
          <w:szCs w:val="28"/>
        </w:rPr>
        <w:lastRenderedPageBreak/>
        <w:t xml:space="preserve">анализируются через медицинское изделие с искусственным интеллектом </w:t>
      </w:r>
      <w:proofErr w:type="spellStart"/>
      <w:r>
        <w:rPr>
          <w:szCs w:val="28"/>
        </w:rPr>
        <w:t>МосМедИИ</w:t>
      </w:r>
      <w:proofErr w:type="spellEnd"/>
      <w:r>
        <w:rPr>
          <w:szCs w:val="28"/>
        </w:rPr>
        <w:t>.</w:t>
      </w:r>
    </w:p>
    <w:p w:rsidR="00543B4E" w:rsidRPr="005C6EB1" w:rsidRDefault="00B11DA6" w:rsidP="005C6EB1">
      <w:pPr>
        <w:spacing w:line="234" w:lineRule="auto"/>
        <w:ind w:firstLine="708"/>
        <w:jc w:val="both"/>
        <w:rPr>
          <w:szCs w:val="28"/>
        </w:rPr>
      </w:pPr>
      <w:r>
        <w:rPr>
          <w:szCs w:val="28"/>
        </w:rPr>
        <w:t>Министерством издано распоряжени</w:t>
      </w:r>
      <w:r w:rsidR="00006E28">
        <w:rPr>
          <w:szCs w:val="28"/>
        </w:rPr>
        <w:t>е</w:t>
      </w:r>
      <w:r>
        <w:rPr>
          <w:szCs w:val="28"/>
        </w:rPr>
        <w:t xml:space="preserve"> от 28 ноября 2025 года </w:t>
      </w:r>
      <w:r>
        <w:rPr>
          <w:szCs w:val="28"/>
        </w:rPr>
        <w:br/>
        <w:t>№ 54-3614-мр «Об утверждении порядка маршрутизации пациентов с подозрением на онкологические заболевания и пациентов с онкологическими заболеваниями на территории Иркутской области в рамках реализации Территориальной программы государственных гарантий бесплатного оказания гражданам медицинской помощи в Иркутской области» (прилагается).</w:t>
      </w:r>
      <w:r w:rsidR="005C6EB1">
        <w:rPr>
          <w:szCs w:val="28"/>
        </w:rPr>
        <w:br/>
      </w:r>
      <w:r w:rsidR="005C6EB1">
        <w:rPr>
          <w:szCs w:val="28"/>
        </w:rPr>
        <w:tab/>
      </w:r>
      <w:r>
        <w:rPr>
          <w:szCs w:val="28"/>
        </w:rPr>
        <w:t xml:space="preserve">Для исполнения мероприятия «Проведение стереотаксической лучевой терапии в условиях круглосуточного и дневного стационаров» требуется расширение отделения радиотерапии в Иркутске, установка линейных ускорителей в Иркутске, </w:t>
      </w:r>
      <w:r w:rsidR="001F2E60">
        <w:rPr>
          <w:szCs w:val="28"/>
        </w:rPr>
        <w:t>взаимодействие с</w:t>
      </w:r>
      <w:r>
        <w:rPr>
          <w:szCs w:val="28"/>
        </w:rPr>
        <w:t xml:space="preserve"> федеральн</w:t>
      </w:r>
      <w:r w:rsidR="001F2E60">
        <w:rPr>
          <w:szCs w:val="28"/>
        </w:rPr>
        <w:t>ым</w:t>
      </w:r>
      <w:r>
        <w:rPr>
          <w:szCs w:val="28"/>
        </w:rPr>
        <w:t xml:space="preserve"> </w:t>
      </w:r>
      <w:proofErr w:type="spellStart"/>
      <w:r>
        <w:rPr>
          <w:szCs w:val="28"/>
        </w:rPr>
        <w:t>референс</w:t>
      </w:r>
      <w:proofErr w:type="spellEnd"/>
      <w:r w:rsidR="001F2E60">
        <w:rPr>
          <w:szCs w:val="28"/>
        </w:rPr>
        <w:t>-</w:t>
      </w:r>
      <w:r>
        <w:rPr>
          <w:szCs w:val="28"/>
        </w:rPr>
        <w:t>центр</w:t>
      </w:r>
      <w:r w:rsidR="001F2E60">
        <w:rPr>
          <w:szCs w:val="28"/>
        </w:rPr>
        <w:t>ом</w:t>
      </w:r>
      <w:r>
        <w:rPr>
          <w:szCs w:val="28"/>
        </w:rPr>
        <w:t xml:space="preserve"> НМИЦ онкологии.</w:t>
      </w:r>
    </w:p>
    <w:p w:rsidR="003311B6" w:rsidRDefault="00B11DA6" w:rsidP="009B30E5">
      <w:pPr>
        <w:pStyle w:val="afb"/>
        <w:spacing w:before="120" w:line="235" w:lineRule="auto"/>
        <w:ind w:left="0" w:firstLine="709"/>
        <w:jc w:val="both"/>
        <w:rPr>
          <w:b/>
          <w:szCs w:val="28"/>
        </w:rPr>
      </w:pPr>
      <w:r>
        <w:rPr>
          <w:b/>
          <w:szCs w:val="28"/>
        </w:rPr>
        <w:t>По пункту 3.4 представления.</w:t>
      </w:r>
    </w:p>
    <w:p w:rsidR="003311B6" w:rsidRDefault="00B11DA6">
      <w:pPr>
        <w:pStyle w:val="afb"/>
        <w:spacing w:after="160" w:line="234" w:lineRule="auto"/>
        <w:ind w:left="0" w:firstLine="708"/>
        <w:jc w:val="both"/>
        <w:rPr>
          <w:bCs/>
          <w:szCs w:val="28"/>
        </w:rPr>
      </w:pPr>
      <w:r>
        <w:rPr>
          <w:bCs/>
          <w:szCs w:val="28"/>
        </w:rPr>
        <w:t xml:space="preserve">Министерством осуществляется оснащение подведомственных медицинских организаций за счет средств областного бюджета на развитие материально-технической базы </w:t>
      </w:r>
      <w:r>
        <w:rPr>
          <w:szCs w:val="28"/>
        </w:rPr>
        <w:t>в целях реализации мероприятия «Улучшена материально-техническая база медицинских организаций, подведомственных министерству здравоохранения Иркутской области» комплекса процессных мероприятий «Государственная политика в сфере здравоохранения Иркутской области</w:t>
      </w:r>
      <w:r>
        <w:rPr>
          <w:bCs/>
          <w:szCs w:val="28"/>
        </w:rPr>
        <w:t xml:space="preserve">» государственной программы Иркутской области «Развитие здравоохранения», утвержденной постановлением Правительства Иркутской области от 13 ноября 2023 года  №1024-пп (далее – Программа). </w:t>
      </w:r>
    </w:p>
    <w:p w:rsidR="003311B6" w:rsidRDefault="00B11DA6">
      <w:pPr>
        <w:pStyle w:val="afb"/>
        <w:spacing w:after="160" w:line="234" w:lineRule="auto"/>
        <w:ind w:left="0" w:firstLine="708"/>
        <w:jc w:val="both"/>
        <w:rPr>
          <w:bCs/>
          <w:szCs w:val="28"/>
        </w:rPr>
      </w:pPr>
      <w:r>
        <w:rPr>
          <w:bCs/>
          <w:szCs w:val="28"/>
        </w:rPr>
        <w:t xml:space="preserve">Предоставление субсидий осуществляется министерством в пределах доведенных лимитов бюджетных обязательств. </w:t>
      </w:r>
      <w:r>
        <w:rPr>
          <w:szCs w:val="28"/>
        </w:rPr>
        <w:t xml:space="preserve"> В рамках </w:t>
      </w:r>
      <w:r>
        <w:rPr>
          <w:bCs/>
          <w:szCs w:val="28"/>
        </w:rPr>
        <w:t xml:space="preserve">Программы </w:t>
      </w:r>
      <w:r>
        <w:rPr>
          <w:bCs/>
          <w:szCs w:val="28"/>
        </w:rPr>
        <w:br/>
      </w:r>
      <w:r>
        <w:rPr>
          <w:szCs w:val="28"/>
        </w:rPr>
        <w:t xml:space="preserve">на основании обращений и заявок подведомственных медицинских организаций министерством в 2024 году </w:t>
      </w:r>
      <w:r>
        <w:rPr>
          <w:bCs/>
          <w:szCs w:val="28"/>
        </w:rPr>
        <w:t xml:space="preserve">доведены субсидии 9 медицинским организациям в сумме </w:t>
      </w:r>
      <w:r>
        <w:rPr>
          <w:color w:val="000000"/>
          <w:szCs w:val="28"/>
        </w:rPr>
        <w:t xml:space="preserve">158 136 387,48 </w:t>
      </w:r>
      <w:r>
        <w:rPr>
          <w:bCs/>
          <w:szCs w:val="28"/>
        </w:rPr>
        <w:t xml:space="preserve">рублей, в том числе на комплектующие, запасные части для восстановления работоспособности компьютерных томографов (далее – КТ), магнитно-резонансного томографа, </w:t>
      </w:r>
      <w:proofErr w:type="spellStart"/>
      <w:r>
        <w:rPr>
          <w:bCs/>
          <w:szCs w:val="28"/>
        </w:rPr>
        <w:t>ангиографа</w:t>
      </w:r>
      <w:proofErr w:type="spellEnd"/>
      <w:r>
        <w:rPr>
          <w:bCs/>
          <w:szCs w:val="28"/>
        </w:rPr>
        <w:t xml:space="preserve"> – 80</w:t>
      </w:r>
      <w:r w:rsidR="007075BD">
        <w:rPr>
          <w:bCs/>
          <w:szCs w:val="28"/>
        </w:rPr>
        <w:t> </w:t>
      </w:r>
      <w:r>
        <w:rPr>
          <w:bCs/>
          <w:szCs w:val="28"/>
        </w:rPr>
        <w:t>057</w:t>
      </w:r>
      <w:r w:rsidR="007075BD">
        <w:rPr>
          <w:bCs/>
          <w:szCs w:val="28"/>
        </w:rPr>
        <w:t> </w:t>
      </w:r>
      <w:r>
        <w:rPr>
          <w:bCs/>
          <w:szCs w:val="28"/>
        </w:rPr>
        <w:t xml:space="preserve">205,48 рублей, а также на приобретение новых КТ ввиду нецелесообразности финансирования дорогостоящего ремонта вышедших </w:t>
      </w:r>
      <w:r>
        <w:rPr>
          <w:bCs/>
          <w:szCs w:val="28"/>
        </w:rPr>
        <w:br/>
        <w:t>из строя КТ.</w:t>
      </w:r>
    </w:p>
    <w:p w:rsidR="003311B6" w:rsidRDefault="00B11DA6">
      <w:pPr>
        <w:pStyle w:val="afb"/>
        <w:spacing w:after="160" w:line="234" w:lineRule="auto"/>
        <w:ind w:left="0" w:firstLine="708"/>
        <w:jc w:val="both"/>
        <w:rPr>
          <w:szCs w:val="28"/>
        </w:rPr>
      </w:pPr>
      <w:r>
        <w:rPr>
          <w:szCs w:val="28"/>
        </w:rPr>
        <w:t>В рамках Программы в 2025 году закуплено 7 передвижных медицинских комплексов на сумму 277 618 880,33 тыс. рублей, из них 6 – флюорографы-маммографы (ОГБУЗ «Боханская районная больница», ОГБУЗ «Качугская районная больница», ОГБУЗ «Заларинская районная больница», ОГБУЗ «Железногорская районная больница», ОГБУЗ «Чунская районная больница» ОГБУЗ «Усть-Кутская районная больница»).</w:t>
      </w:r>
    </w:p>
    <w:p w:rsidR="003311B6" w:rsidRDefault="00B11DA6">
      <w:pPr>
        <w:pStyle w:val="afb"/>
        <w:spacing w:after="160" w:line="234" w:lineRule="auto"/>
        <w:ind w:left="0" w:firstLine="708"/>
        <w:jc w:val="both"/>
        <w:rPr>
          <w:szCs w:val="28"/>
        </w:rPr>
      </w:pPr>
      <w:r>
        <w:rPr>
          <w:szCs w:val="28"/>
        </w:rPr>
        <w:t>На восстановление работоспособности медицинского оборудования предоставлены субсидии ОГАУЗ «Ангарская городская больница» (МРТ) –3 170 000,00 рублей, ОГАУЗ «Братская городская больница № 1» (КТ) – 12 741 667,5 рублей, ОГБУЗ «Клинический госпиталь ветеранов войн» (КТ) – 18 000 000,00 рублей.</w:t>
      </w:r>
    </w:p>
    <w:p w:rsidR="003311B6" w:rsidRDefault="00B11DA6" w:rsidP="009B30E5">
      <w:pPr>
        <w:pStyle w:val="afb"/>
        <w:spacing w:before="120" w:line="235" w:lineRule="auto"/>
        <w:ind w:left="0" w:firstLine="708"/>
        <w:jc w:val="both"/>
        <w:rPr>
          <w:szCs w:val="28"/>
        </w:rPr>
      </w:pPr>
      <w:r>
        <w:rPr>
          <w:szCs w:val="28"/>
        </w:rPr>
        <w:lastRenderedPageBreak/>
        <w:t>В рамках региональной программы модернизации первичного звена здравоохранения ОГБУЗ «Иркутская районная больница» предоставлена субсидия 30 000 000,00 рублей на приобретение Компьютерного томографа рентгеновского спирального с многорядным детектором (</w:t>
      </w:r>
      <w:proofErr w:type="spellStart"/>
      <w:r>
        <w:rPr>
          <w:szCs w:val="28"/>
        </w:rPr>
        <w:t>многосрезового</w:t>
      </w:r>
      <w:proofErr w:type="spellEnd"/>
      <w:r>
        <w:rPr>
          <w:szCs w:val="28"/>
        </w:rPr>
        <w:t>).</w:t>
      </w:r>
    </w:p>
    <w:p w:rsidR="003311B6" w:rsidRDefault="00B11DA6" w:rsidP="009B30E5">
      <w:pPr>
        <w:pStyle w:val="afb"/>
        <w:spacing w:before="120" w:line="235" w:lineRule="auto"/>
        <w:ind w:left="0" w:firstLine="709"/>
        <w:jc w:val="both"/>
        <w:rPr>
          <w:b/>
          <w:szCs w:val="28"/>
        </w:rPr>
      </w:pPr>
      <w:r>
        <w:rPr>
          <w:b/>
          <w:szCs w:val="28"/>
        </w:rPr>
        <w:t>По пункту 3.5 представления.</w:t>
      </w:r>
    </w:p>
    <w:p w:rsidR="003311B6" w:rsidRDefault="00B11DA6">
      <w:pPr>
        <w:pStyle w:val="afb"/>
        <w:spacing w:after="160" w:line="234" w:lineRule="auto"/>
        <w:ind w:left="0" w:firstLine="708"/>
        <w:jc w:val="both"/>
        <w:rPr>
          <w:szCs w:val="28"/>
        </w:rPr>
      </w:pPr>
      <w:r>
        <w:rPr>
          <w:szCs w:val="28"/>
        </w:rPr>
        <w:t xml:space="preserve">В целях реализации мероприятий по организации обеспечения медицинских организаций медицинскими изделиями на основании заявок медицинских организаций министерство ежегодно формирует </w:t>
      </w:r>
      <w:r>
        <w:rPr>
          <w:bCs/>
          <w:szCs w:val="28"/>
        </w:rPr>
        <w:t xml:space="preserve">реестр потребности медицинских организаций, подведомственных министерству, </w:t>
      </w:r>
      <w:r>
        <w:rPr>
          <w:bCs/>
          <w:szCs w:val="28"/>
        </w:rPr>
        <w:br/>
        <w:t xml:space="preserve">в медицинских изделиях, комплектующих (запасных) частях </w:t>
      </w:r>
      <w:r>
        <w:rPr>
          <w:szCs w:val="28"/>
        </w:rPr>
        <w:t xml:space="preserve">(далее – Реестр потребности). </w:t>
      </w:r>
    </w:p>
    <w:p w:rsidR="003311B6" w:rsidRDefault="00B11DA6">
      <w:pPr>
        <w:pStyle w:val="afb"/>
        <w:spacing w:after="160" w:line="234" w:lineRule="auto"/>
        <w:ind w:left="0" w:firstLine="708"/>
        <w:jc w:val="both"/>
        <w:rPr>
          <w:szCs w:val="28"/>
        </w:rPr>
      </w:pPr>
      <w:r>
        <w:rPr>
          <w:szCs w:val="28"/>
        </w:rPr>
        <w:t xml:space="preserve">В 2025 году заявки на включение в Реестр потребности на 2026 год необходимого для оснащения ЦАОП оборудования в соответствии </w:t>
      </w:r>
      <w:r>
        <w:rPr>
          <w:szCs w:val="28"/>
        </w:rPr>
        <w:br/>
        <w:t>с «Порядком оказания медицинской помощи взрослому населению при онкологических заболеваниях», который утвержден приказом Минздрава России от 19 февраля 2021 года № 116н</w:t>
      </w:r>
      <w:r w:rsidR="007075BD">
        <w:rPr>
          <w:szCs w:val="28"/>
        </w:rPr>
        <w:t>,</w:t>
      </w:r>
      <w:r>
        <w:rPr>
          <w:szCs w:val="28"/>
        </w:rPr>
        <w:t xml:space="preserve"> медицинскими организациями не предоставлялись.</w:t>
      </w:r>
      <w:r>
        <w:rPr>
          <w:szCs w:val="28"/>
        </w:rPr>
        <w:br/>
      </w:r>
      <w:r>
        <w:rPr>
          <w:szCs w:val="28"/>
        </w:rPr>
        <w:tab/>
        <w:t xml:space="preserve">В рамках доведенных лимитов бюджетных обязательств по Программе на 2025 год ОГБУЗ «Иркутская городская клиническая больница №3» закуплено медицинское  оборудования на сумму  5 088 216, 00 рублей   для оснащения ЦАОП. </w:t>
      </w:r>
    </w:p>
    <w:p w:rsidR="003311B6" w:rsidRPr="007075BD" w:rsidRDefault="00B11DA6">
      <w:pPr>
        <w:pStyle w:val="afb"/>
        <w:spacing w:after="160" w:line="234" w:lineRule="auto"/>
        <w:ind w:left="0" w:firstLine="708"/>
        <w:jc w:val="both"/>
        <w:rPr>
          <w:szCs w:val="28"/>
        </w:rPr>
      </w:pPr>
      <w:r>
        <w:rPr>
          <w:szCs w:val="28"/>
        </w:rPr>
        <w:t>По вопросу анализа состояния диагностического оборудования медицинских организаций, на базе которых открыты ЦАОП сообщаю.</w:t>
      </w:r>
      <w:r>
        <w:rPr>
          <w:szCs w:val="28"/>
        </w:rPr>
        <w:br/>
      </w:r>
      <w:r>
        <w:rPr>
          <w:szCs w:val="28"/>
        </w:rPr>
        <w:tab/>
      </w:r>
      <w:r w:rsidRPr="007075BD">
        <w:rPr>
          <w:szCs w:val="28"/>
        </w:rPr>
        <w:t xml:space="preserve">Мероприятие по ремонту компьютерного томографа в ОГАУЗ «Иркутская городская клиническая больница № 9» (далее – ОГАУЗ ИГКБ </w:t>
      </w:r>
      <w:r w:rsidRPr="007075BD">
        <w:rPr>
          <w:szCs w:val="28"/>
        </w:rPr>
        <w:br/>
        <w:t xml:space="preserve">№ 9) 27 ноября 2024 года включено в план мероприятий за счет средств нормированного страхового запаса </w:t>
      </w:r>
      <w:r w:rsidR="007075BD" w:rsidRPr="007075BD">
        <w:rPr>
          <w:szCs w:val="28"/>
        </w:rPr>
        <w:t>ТФ</w:t>
      </w:r>
      <w:r w:rsidRPr="007075BD">
        <w:rPr>
          <w:szCs w:val="28"/>
        </w:rPr>
        <w:t>ОМС, на сумму 5880933,33 рублей.</w:t>
      </w:r>
    </w:p>
    <w:p w:rsidR="003311B6" w:rsidRPr="007075BD" w:rsidRDefault="00B11DA6">
      <w:pPr>
        <w:pStyle w:val="afb"/>
        <w:spacing w:after="160" w:line="234" w:lineRule="auto"/>
        <w:ind w:left="0" w:firstLine="708"/>
        <w:jc w:val="both"/>
        <w:rPr>
          <w:szCs w:val="28"/>
        </w:rPr>
      </w:pPr>
      <w:r w:rsidRPr="007075BD">
        <w:rPr>
          <w:szCs w:val="28"/>
        </w:rPr>
        <w:t xml:space="preserve">29 ноября 2024 года заключен договор № 209/11-24 ЭМ-ЕП с ООО «Инсайт-сервис» на оказание услуг по ремонту медицинского оборудования (томограф </w:t>
      </w:r>
      <w:proofErr w:type="spellStart"/>
      <w:r w:rsidRPr="007075BD">
        <w:rPr>
          <w:szCs w:val="28"/>
        </w:rPr>
        <w:t>Aquilion</w:t>
      </w:r>
      <w:proofErr w:type="spellEnd"/>
      <w:r w:rsidRPr="007075BD">
        <w:rPr>
          <w:szCs w:val="28"/>
        </w:rPr>
        <w:t xml:space="preserve"> </w:t>
      </w:r>
      <w:proofErr w:type="spellStart"/>
      <w:r w:rsidRPr="007075BD">
        <w:rPr>
          <w:szCs w:val="28"/>
        </w:rPr>
        <w:t>Lightning</w:t>
      </w:r>
      <w:proofErr w:type="spellEnd"/>
      <w:r w:rsidRPr="007075BD">
        <w:rPr>
          <w:szCs w:val="28"/>
        </w:rPr>
        <w:t xml:space="preserve"> (TSX-036A) с принадлежностями), с заменой комплектующих запасных запчастей.</w:t>
      </w:r>
    </w:p>
    <w:p w:rsidR="003311B6" w:rsidRPr="007075BD" w:rsidRDefault="00B11DA6">
      <w:pPr>
        <w:pStyle w:val="afb"/>
        <w:spacing w:after="160" w:line="234" w:lineRule="auto"/>
        <w:ind w:left="0" w:firstLine="708"/>
        <w:jc w:val="both"/>
        <w:rPr>
          <w:szCs w:val="28"/>
        </w:rPr>
      </w:pPr>
      <w:r w:rsidRPr="007075BD">
        <w:rPr>
          <w:szCs w:val="28"/>
        </w:rPr>
        <w:t xml:space="preserve">27 марта 2025 года ООО «Инсайт - сервис» предоставил обоснование </w:t>
      </w:r>
      <w:r w:rsidRPr="007075BD">
        <w:rPr>
          <w:szCs w:val="28"/>
        </w:rPr>
        <w:br/>
        <w:t>о невозможности в установленный договором срок осуществить поставку запасных частей и оказать услуги по их замене по независящим от организации причинам. В связи с тем, что необходимые для ремонта запасные части ограничены к экспорту в РФ (в Японии утвержден свой перечень товаров, ограниченных к ввозу в РФ), для ввоза запасных частей в Р</w:t>
      </w:r>
      <w:r w:rsidR="00ED136C">
        <w:rPr>
          <w:szCs w:val="28"/>
        </w:rPr>
        <w:t>оссийской Федерации</w:t>
      </w:r>
      <w:r w:rsidRPr="007075BD">
        <w:rPr>
          <w:szCs w:val="28"/>
        </w:rPr>
        <w:t xml:space="preserve"> требуется экспортная лицензия уполномоченного государственного органа Японии, оформляющего разрешительные документы на экспорт. Сроки получения лицензии в настоящее время не известны, поэтому невозможно определить срок ввоза товара в Российскую Федерацию.</w:t>
      </w:r>
    </w:p>
    <w:p w:rsidR="003311B6" w:rsidRPr="007075BD" w:rsidRDefault="00B11DA6">
      <w:pPr>
        <w:pStyle w:val="afb"/>
        <w:spacing w:after="160" w:line="234" w:lineRule="auto"/>
        <w:ind w:left="0" w:firstLine="708"/>
        <w:jc w:val="both"/>
        <w:rPr>
          <w:szCs w:val="28"/>
        </w:rPr>
      </w:pPr>
      <w:r w:rsidRPr="007075BD">
        <w:rPr>
          <w:szCs w:val="28"/>
        </w:rPr>
        <w:t xml:space="preserve">Учитывая затруднения с оформлением разрешительных документов </w:t>
      </w:r>
      <w:r w:rsidR="00ED136C">
        <w:rPr>
          <w:szCs w:val="28"/>
        </w:rPr>
        <w:br/>
      </w:r>
      <w:r w:rsidRPr="007075BD">
        <w:rPr>
          <w:szCs w:val="28"/>
        </w:rPr>
        <w:t xml:space="preserve">на экспорт запасных частей из Японии, в соответствие с п. 9.3. Договора, </w:t>
      </w:r>
      <w:r w:rsidRPr="007075BD">
        <w:rPr>
          <w:szCs w:val="28"/>
        </w:rPr>
        <w:br/>
        <w:t xml:space="preserve">27 июля 2025 г. ОГАУЗ ИГКБ № 9 заключено дополнительное соглашение </w:t>
      </w:r>
      <w:r w:rsidRPr="007075BD">
        <w:rPr>
          <w:szCs w:val="28"/>
        </w:rPr>
        <w:br/>
        <w:t>№ 2 к договору № 209/11-24 ЭМ-ЕП от 29 ноября 2024 года о продлении срока поставки запасных частей до 310 календарных дней.</w:t>
      </w:r>
    </w:p>
    <w:p w:rsidR="007075BD" w:rsidRDefault="007075BD">
      <w:pPr>
        <w:pStyle w:val="afb"/>
        <w:spacing w:after="160" w:line="234" w:lineRule="auto"/>
        <w:ind w:left="0" w:firstLine="708"/>
        <w:jc w:val="both"/>
        <w:rPr>
          <w:szCs w:val="28"/>
        </w:rPr>
      </w:pPr>
      <w:r w:rsidRPr="007075BD">
        <w:rPr>
          <w:szCs w:val="28"/>
        </w:rPr>
        <w:lastRenderedPageBreak/>
        <w:t xml:space="preserve">В настоящее время работоспособность компьютерного томографа </w:t>
      </w:r>
      <w:r w:rsidR="00ED136C">
        <w:rPr>
          <w:szCs w:val="28"/>
        </w:rPr>
        <w:br/>
      </w:r>
      <w:r w:rsidRPr="007075BD">
        <w:rPr>
          <w:szCs w:val="28"/>
        </w:rPr>
        <w:t>в ОГАУЗ ИГКБ № 9 восстановлена.</w:t>
      </w:r>
    </w:p>
    <w:p w:rsidR="00514148" w:rsidRDefault="00B11DA6" w:rsidP="00514148">
      <w:pPr>
        <w:pStyle w:val="afb"/>
        <w:spacing w:after="160" w:line="234" w:lineRule="auto"/>
        <w:ind w:left="0" w:firstLine="708"/>
        <w:jc w:val="both"/>
        <w:rPr>
          <w:szCs w:val="28"/>
        </w:rPr>
      </w:pPr>
      <w:r>
        <w:rPr>
          <w:szCs w:val="28"/>
        </w:rPr>
        <w:t xml:space="preserve">В соответствии с Соглашением о предоставлении субсидии </w:t>
      </w:r>
      <w:r>
        <w:rPr>
          <w:szCs w:val="28"/>
        </w:rPr>
        <w:br/>
        <w:t>из областного бюджета на иные цели от З0.01.2025 № 20-2025-043531 ОГБУЗ «Усольская городская больница» выделены субсидии в размере 7 065,8 тыс. рублей на приобретение рентгеновской трубки для компьютерного томографа (далее – КТ).  В результате проведенных мероприятий по восстановлению работоспособности КТ введен в эксплуатацию 15 августа 2025 года.</w:t>
      </w:r>
    </w:p>
    <w:p w:rsidR="00514148" w:rsidRDefault="00B11DA6" w:rsidP="00514148">
      <w:pPr>
        <w:pStyle w:val="afb"/>
        <w:spacing w:after="160" w:line="234" w:lineRule="auto"/>
        <w:ind w:left="0" w:firstLine="708"/>
        <w:jc w:val="both"/>
        <w:rPr>
          <w:szCs w:val="28"/>
        </w:rPr>
      </w:pPr>
      <w:r>
        <w:rPr>
          <w:szCs w:val="28"/>
        </w:rPr>
        <w:t xml:space="preserve">В ОГБУЗ «Областная больница № 2» КТ </w:t>
      </w:r>
      <w:proofErr w:type="spellStart"/>
      <w:r>
        <w:rPr>
          <w:szCs w:val="28"/>
          <w:lang w:val="en-US"/>
        </w:rPr>
        <w:t>Brightspeed</w:t>
      </w:r>
      <w:proofErr w:type="spellEnd"/>
      <w:r>
        <w:rPr>
          <w:szCs w:val="28"/>
        </w:rPr>
        <w:t xml:space="preserve"> </w:t>
      </w:r>
      <w:r>
        <w:rPr>
          <w:szCs w:val="28"/>
          <w:lang w:val="en-US"/>
        </w:rPr>
        <w:t>Elite</w:t>
      </w:r>
      <w:r>
        <w:rPr>
          <w:szCs w:val="28"/>
        </w:rPr>
        <w:t xml:space="preserve"> 16 </w:t>
      </w:r>
      <w:r>
        <w:rPr>
          <w:szCs w:val="28"/>
        </w:rPr>
        <w:br/>
        <w:t>с 30 апреля 2025 г. находится в рабочем состоянии после проведенного ремонта.</w:t>
      </w:r>
    </w:p>
    <w:p w:rsidR="00514148" w:rsidRDefault="00B11DA6" w:rsidP="00514148">
      <w:pPr>
        <w:pStyle w:val="afb"/>
        <w:spacing w:after="160" w:line="234" w:lineRule="auto"/>
        <w:ind w:left="0" w:firstLine="708"/>
        <w:jc w:val="both"/>
        <w:rPr>
          <w:szCs w:val="28"/>
        </w:rPr>
      </w:pPr>
      <w:r>
        <w:rPr>
          <w:szCs w:val="28"/>
        </w:rPr>
        <w:t>В настоящее время КТ в ОГАУЗ «ИГКБ № 8» исправен, проводятся исследования пациентов ЦАОП, а также других пациентов (с ХНИЗ в рамках диспансерного наблюдения, диагностики, стационарных пациентов и т.д.),</w:t>
      </w:r>
      <w:r>
        <w:rPr>
          <w:szCs w:val="28"/>
        </w:rPr>
        <w:br/>
        <w:t xml:space="preserve"> а также плановых пациентов из других медицинских организаций </w:t>
      </w:r>
      <w:r>
        <w:rPr>
          <w:szCs w:val="28"/>
        </w:rPr>
        <w:br/>
        <w:t xml:space="preserve">в соответствии с приложением 1 распоряжения министерства здравоохранения Иркутской области от 21 февраля 2025 года № 54-499-мр «Об утверждении рекомендуемых схем направления (маршрутизации) пациентов для проведения отдельных диагностических (лабораторных) исследований </w:t>
      </w:r>
      <w:r>
        <w:rPr>
          <w:szCs w:val="28"/>
        </w:rPr>
        <w:br/>
        <w:t>в амбулаторных условиях» и выделяемых объемов по Территориальной программе государственных гарантий бесплатного оказания гражданам медицинской помощи в Иркутской области на 2025 год.</w:t>
      </w:r>
    </w:p>
    <w:p w:rsidR="003311B6" w:rsidRPr="00514148" w:rsidRDefault="00B11DA6" w:rsidP="00514148">
      <w:pPr>
        <w:pStyle w:val="afb"/>
        <w:spacing w:after="160" w:line="234" w:lineRule="auto"/>
        <w:ind w:left="0" w:firstLine="708"/>
        <w:jc w:val="both"/>
        <w:rPr>
          <w:color w:val="000000" w:themeColor="text1"/>
          <w:szCs w:val="28"/>
        </w:rPr>
      </w:pPr>
      <w:r>
        <w:rPr>
          <w:szCs w:val="28"/>
        </w:rPr>
        <w:t xml:space="preserve">Проблема ремонта эндоскопического оборудования связана </w:t>
      </w:r>
      <w:r>
        <w:rPr>
          <w:szCs w:val="28"/>
        </w:rPr>
        <w:br/>
        <w:t>с отсутствием достаточного количества предложений поставщиков по запасным частям для замены неработающих блоков</w:t>
      </w:r>
      <w:r w:rsidR="008723A7">
        <w:rPr>
          <w:szCs w:val="28"/>
        </w:rPr>
        <w:t xml:space="preserve">, обусловленным </w:t>
      </w:r>
      <w:proofErr w:type="spellStart"/>
      <w:r w:rsidR="008723A7">
        <w:rPr>
          <w:szCs w:val="28"/>
        </w:rPr>
        <w:t>санкционными</w:t>
      </w:r>
      <w:proofErr w:type="spellEnd"/>
      <w:r w:rsidR="008723A7">
        <w:rPr>
          <w:szCs w:val="28"/>
        </w:rPr>
        <w:t xml:space="preserve"> ограничениями</w:t>
      </w:r>
      <w:r>
        <w:rPr>
          <w:szCs w:val="28"/>
        </w:rPr>
        <w:t xml:space="preserve">. Имеются дефектные акты сервисного центра, высокая стоимость ремонта сопоставима со стоимостью нового оборудования. </w:t>
      </w:r>
    </w:p>
    <w:p w:rsidR="003311B6" w:rsidRDefault="00B11DA6">
      <w:pPr>
        <w:spacing w:before="120" w:line="234" w:lineRule="auto"/>
        <w:ind w:firstLine="709"/>
        <w:jc w:val="both"/>
        <w:rPr>
          <w:b/>
          <w:szCs w:val="28"/>
        </w:rPr>
      </w:pPr>
      <w:r>
        <w:rPr>
          <w:b/>
          <w:szCs w:val="28"/>
        </w:rPr>
        <w:t>По пункту 3.6 представления.</w:t>
      </w:r>
    </w:p>
    <w:p w:rsidR="003311B6" w:rsidRDefault="00B11DA6">
      <w:pPr>
        <w:spacing w:line="234" w:lineRule="auto"/>
        <w:ind w:firstLine="709"/>
        <w:jc w:val="both"/>
        <w:rPr>
          <w:bCs/>
          <w:szCs w:val="28"/>
        </w:rPr>
      </w:pPr>
      <w:r>
        <w:rPr>
          <w:bCs/>
          <w:szCs w:val="28"/>
        </w:rPr>
        <w:t>В настоящее время министерством совместно с ТФОМС Иркутской области разрабатывается план поэтапного перехода от общего подушевого финансирования к финансированию в соответствии с объемами оказанной медицинской помощи (по круглосуточному и дневному стационарам), а также финансированию амбулаторной помощи в зависимости от численности прикрепленного населения в сочетании с оплатой за отдельные услуги (в том числе по услугам ЦАОП).</w:t>
      </w:r>
    </w:p>
    <w:p w:rsidR="003311B6" w:rsidRDefault="00B11DA6">
      <w:pPr>
        <w:spacing w:line="234" w:lineRule="auto"/>
        <w:ind w:firstLine="709"/>
        <w:jc w:val="both"/>
        <w:rPr>
          <w:bCs/>
          <w:szCs w:val="28"/>
        </w:rPr>
      </w:pPr>
      <w:r>
        <w:rPr>
          <w:bCs/>
          <w:szCs w:val="28"/>
        </w:rPr>
        <w:t xml:space="preserve">На заседаниях комиссии по разработке территориальной программы ОМС принято решение о выводе шести медицинских организаций из общего подушевого финансирования, в составе которых находится ЦАОП. </w:t>
      </w:r>
    </w:p>
    <w:p w:rsidR="008723A7" w:rsidRPr="00ED136C" w:rsidRDefault="00B11DA6" w:rsidP="00ED136C">
      <w:pPr>
        <w:spacing w:line="234" w:lineRule="auto"/>
        <w:ind w:firstLine="709"/>
        <w:jc w:val="both"/>
        <w:rPr>
          <w:bCs/>
          <w:szCs w:val="28"/>
        </w:rPr>
      </w:pPr>
      <w:r>
        <w:rPr>
          <w:bCs/>
          <w:szCs w:val="28"/>
        </w:rPr>
        <w:t xml:space="preserve">Решение о выводе медицинских организаций из общего подушевого финансирования принимается с учетом их финансовой устойчивости. </w:t>
      </w:r>
    </w:p>
    <w:p w:rsidR="003311B6" w:rsidRDefault="00B11DA6">
      <w:pPr>
        <w:spacing w:before="120" w:line="234" w:lineRule="auto"/>
        <w:ind w:firstLine="709"/>
        <w:jc w:val="both"/>
        <w:rPr>
          <w:b/>
          <w:szCs w:val="28"/>
        </w:rPr>
      </w:pPr>
      <w:r>
        <w:rPr>
          <w:b/>
          <w:szCs w:val="28"/>
        </w:rPr>
        <w:t>По пункту 4 представления.</w:t>
      </w:r>
    </w:p>
    <w:p w:rsidR="003311B6" w:rsidRDefault="00B11DA6">
      <w:pPr>
        <w:spacing w:line="234" w:lineRule="auto"/>
        <w:ind w:firstLine="709"/>
        <w:jc w:val="both"/>
        <w:rPr>
          <w:bCs/>
          <w:szCs w:val="28"/>
          <w:lang w:eastAsia="zh-CN"/>
        </w:rPr>
      </w:pPr>
      <w:r>
        <w:rPr>
          <w:bCs/>
          <w:szCs w:val="28"/>
        </w:rPr>
        <w:t xml:space="preserve">В соответствии с приказом ГБУЗ «ООД» от 16 июня 2025 года № 331 </w:t>
      </w:r>
      <w:r>
        <w:rPr>
          <w:bCs/>
          <w:szCs w:val="28"/>
        </w:rPr>
        <w:br/>
        <w:t xml:space="preserve">в учреждении </w:t>
      </w:r>
      <w:r>
        <w:rPr>
          <w:bCs/>
          <w:szCs w:val="28"/>
          <w:lang w:eastAsia="zh-CN"/>
        </w:rPr>
        <w:t xml:space="preserve">проведена инвентаризация лекарственных препаратов </w:t>
      </w:r>
      <w:r>
        <w:rPr>
          <w:bCs/>
          <w:szCs w:val="28"/>
          <w:lang w:eastAsia="zh-CN"/>
        </w:rPr>
        <w:br/>
        <w:t>и медицинских расходных материалов.</w:t>
      </w:r>
    </w:p>
    <w:p w:rsidR="003311B6" w:rsidRDefault="00B11DA6">
      <w:pPr>
        <w:spacing w:line="234" w:lineRule="auto"/>
        <w:ind w:firstLine="709"/>
        <w:jc w:val="both"/>
        <w:rPr>
          <w:bCs/>
          <w:szCs w:val="28"/>
          <w:lang w:eastAsia="zh-CN"/>
        </w:rPr>
      </w:pPr>
      <w:r>
        <w:rPr>
          <w:bCs/>
          <w:szCs w:val="28"/>
          <w:lang w:eastAsia="zh-CN"/>
        </w:rPr>
        <w:lastRenderedPageBreak/>
        <w:t>По результатам инвентаризации ГБУЗ «ООД» внесены соответствующие бухгалтерские записи по исправлению ошибок прошлых лет (восстановление стоимости медикаментов на сумму 776 074 339,79 руб.).</w:t>
      </w:r>
    </w:p>
    <w:p w:rsidR="003311B6" w:rsidRDefault="00B11DA6">
      <w:pPr>
        <w:spacing w:line="234" w:lineRule="auto"/>
        <w:ind w:firstLine="709"/>
        <w:jc w:val="both"/>
        <w:rPr>
          <w:bCs/>
          <w:szCs w:val="28"/>
        </w:rPr>
      </w:pPr>
      <w:r>
        <w:rPr>
          <w:bCs/>
          <w:szCs w:val="28"/>
          <w:lang w:eastAsia="zh-CN"/>
        </w:rPr>
        <w:t xml:space="preserve">В бухгалтерской отчетности министерства здравоохранения Иркутской области по состоянию на 1 июля 2025 года в ф. 0503773 «Сведения </w:t>
      </w:r>
      <w:r w:rsidR="00ED136C">
        <w:rPr>
          <w:bCs/>
          <w:szCs w:val="28"/>
          <w:lang w:eastAsia="zh-CN"/>
        </w:rPr>
        <w:br/>
      </w:r>
      <w:r>
        <w:rPr>
          <w:bCs/>
          <w:szCs w:val="28"/>
          <w:lang w:eastAsia="zh-CN"/>
        </w:rPr>
        <w:t xml:space="preserve">об изменении остатков валюты баланса» по строке 080 «Материальные запасы (010500000)» отражено изменении остатков валюты баланса </w:t>
      </w:r>
      <w:r>
        <w:rPr>
          <w:bCs/>
          <w:szCs w:val="28"/>
          <w:lang w:eastAsia="zh-CN"/>
        </w:rPr>
        <w:br/>
        <w:t xml:space="preserve">на сумму 776 074 339,79 руб. по коду причины 07 – </w:t>
      </w:r>
      <w:r>
        <w:rPr>
          <w:bCs/>
          <w:szCs w:val="28"/>
        </w:rPr>
        <w:t>исправление ошибок прошлых лет по результатам внешнего (внутреннего) государственного (муниципального) финансового контроля по корреспонденциям со счетами, предназначенными для отражения ошибок прошлых лет.</w:t>
      </w:r>
    </w:p>
    <w:p w:rsidR="003311B6" w:rsidRDefault="00B11DA6">
      <w:pPr>
        <w:spacing w:before="120" w:line="234" w:lineRule="auto"/>
        <w:ind w:firstLine="709"/>
        <w:jc w:val="both"/>
        <w:rPr>
          <w:b/>
          <w:szCs w:val="28"/>
        </w:rPr>
      </w:pPr>
      <w:r>
        <w:rPr>
          <w:b/>
          <w:szCs w:val="28"/>
        </w:rPr>
        <w:t>По пункту 5 представления.</w:t>
      </w:r>
    </w:p>
    <w:p w:rsidR="003311B6" w:rsidRDefault="00FF63E9">
      <w:pPr>
        <w:spacing w:line="234" w:lineRule="auto"/>
        <w:ind w:firstLine="709"/>
        <w:jc w:val="both"/>
        <w:rPr>
          <w:b/>
          <w:szCs w:val="28"/>
        </w:rPr>
      </w:pPr>
      <w:r>
        <w:rPr>
          <w:szCs w:val="28"/>
        </w:rPr>
        <w:t>Д</w:t>
      </w:r>
      <w:r w:rsidR="00B11DA6">
        <w:rPr>
          <w:szCs w:val="28"/>
        </w:rPr>
        <w:t>лительны</w:t>
      </w:r>
      <w:r>
        <w:rPr>
          <w:szCs w:val="28"/>
        </w:rPr>
        <w:t>е</w:t>
      </w:r>
      <w:r w:rsidR="00B11DA6">
        <w:rPr>
          <w:szCs w:val="28"/>
        </w:rPr>
        <w:t xml:space="preserve"> срок</w:t>
      </w:r>
      <w:r>
        <w:rPr>
          <w:szCs w:val="28"/>
        </w:rPr>
        <w:t>и</w:t>
      </w:r>
      <w:r w:rsidR="00B11DA6">
        <w:rPr>
          <w:szCs w:val="28"/>
        </w:rPr>
        <w:t xml:space="preserve"> ремонта оборудования </w:t>
      </w:r>
      <w:r>
        <w:rPr>
          <w:szCs w:val="28"/>
        </w:rPr>
        <w:t>связаны с</w:t>
      </w:r>
      <w:r w:rsidR="00B11DA6">
        <w:rPr>
          <w:szCs w:val="28"/>
        </w:rPr>
        <w:t xml:space="preserve"> внеплановым характером данного мероприятия, </w:t>
      </w:r>
      <w:r>
        <w:rPr>
          <w:szCs w:val="28"/>
        </w:rPr>
        <w:t>высокой стоимостью ремонта</w:t>
      </w:r>
      <w:r w:rsidR="00B11DA6">
        <w:rPr>
          <w:szCs w:val="28"/>
        </w:rPr>
        <w:t xml:space="preserve"> </w:t>
      </w:r>
      <w:r w:rsidR="00FD36A9">
        <w:rPr>
          <w:szCs w:val="28"/>
        </w:rPr>
        <w:br/>
      </w:r>
      <w:bookmarkStart w:id="2" w:name="_GoBack"/>
      <w:bookmarkEnd w:id="2"/>
      <w:r w:rsidR="00B11DA6">
        <w:rPr>
          <w:szCs w:val="28"/>
        </w:rPr>
        <w:t xml:space="preserve">и необходимостью </w:t>
      </w:r>
      <w:r>
        <w:rPr>
          <w:szCs w:val="28"/>
        </w:rPr>
        <w:t>определения источника</w:t>
      </w:r>
      <w:r w:rsidR="00B11DA6">
        <w:rPr>
          <w:szCs w:val="28"/>
        </w:rPr>
        <w:t>. Замечание учтено в работе.</w:t>
      </w:r>
    </w:p>
    <w:p w:rsidR="003311B6" w:rsidRDefault="00B11DA6">
      <w:pPr>
        <w:spacing w:line="234" w:lineRule="auto"/>
        <w:ind w:firstLine="709"/>
        <w:jc w:val="both"/>
        <w:rPr>
          <w:szCs w:val="28"/>
        </w:rPr>
      </w:pPr>
      <w:r>
        <w:rPr>
          <w:bCs/>
          <w:szCs w:val="28"/>
        </w:rPr>
        <w:t xml:space="preserve">Министерством направлено обращение от 25 августа 2025 года </w:t>
      </w:r>
      <w:r>
        <w:rPr>
          <w:bCs/>
          <w:szCs w:val="28"/>
        </w:rPr>
        <w:br/>
        <w:t xml:space="preserve">№ 02-54-21870/25  в Министерство здравоохранения Российской Федерации по вопросу рассмотрения возможности участия Иркутской области </w:t>
      </w:r>
      <w:r>
        <w:rPr>
          <w:bCs/>
          <w:szCs w:val="28"/>
        </w:rPr>
        <w:br/>
        <w:t xml:space="preserve">в мероприятии «Модернизированы, дооснащены или переоснащены медицинским оборудованием существующие и/или новые (организуемые) структурные подразделения медицинских организаций, оказывающих медицинскую помощь с применением радиологических методов (диагностики и/или терапии)» в 2025-2030 годах и направления на согласование заявки </w:t>
      </w:r>
      <w:r>
        <w:rPr>
          <w:bCs/>
          <w:szCs w:val="28"/>
        </w:rPr>
        <w:br/>
        <w:t>на предоставление субсидии</w:t>
      </w:r>
      <w:r>
        <w:rPr>
          <w:szCs w:val="28"/>
        </w:rPr>
        <w:t xml:space="preserve"> на модернизацию медицинских изделий и иного оборудования структурных подразделений медицинских организаций, оказывающих медицинскую помощь с применением радиологических методов (диагностики и (или) терапии), дооснащение или переоснащение медицинскими изделиями и иным оборудованием существующих и (или) новых (организуемых) структурных подразделений медицинских организаций, оказывающих медицинскую помощь с применением радиологических методов (диагностики и (или) терапии), в рамках федерального проекта «Борьба с онкологическими заболеваниями» </w:t>
      </w:r>
      <w:r>
        <w:rPr>
          <w:bCs/>
          <w:szCs w:val="28"/>
        </w:rPr>
        <w:t xml:space="preserve">с целью оснащения отделения </w:t>
      </w:r>
      <w:proofErr w:type="spellStart"/>
      <w:r>
        <w:rPr>
          <w:bCs/>
          <w:szCs w:val="28"/>
        </w:rPr>
        <w:t>радионуклидной</w:t>
      </w:r>
      <w:proofErr w:type="spellEnd"/>
      <w:r>
        <w:rPr>
          <w:bCs/>
          <w:szCs w:val="28"/>
        </w:rPr>
        <w:t xml:space="preserve"> диагностики </w:t>
      </w:r>
      <w:r>
        <w:rPr>
          <w:szCs w:val="28"/>
        </w:rPr>
        <w:t xml:space="preserve">строящегося радиологического корпуса ГБУЗ «Областной онкологический диспансер» позитронно-эмиссионным компьютерным томографом, совмещенным </w:t>
      </w:r>
      <w:r>
        <w:rPr>
          <w:szCs w:val="28"/>
        </w:rPr>
        <w:br/>
        <w:t>с рентгеновским компьютерным томографом (ПЭТ/КТ), и иным оборудованием.</w:t>
      </w:r>
    </w:p>
    <w:p w:rsidR="003311B6" w:rsidRDefault="00B11DA6">
      <w:pPr>
        <w:tabs>
          <w:tab w:val="left" w:pos="7200"/>
        </w:tabs>
        <w:spacing w:before="120" w:line="234" w:lineRule="auto"/>
        <w:ind w:firstLine="720"/>
        <w:jc w:val="both"/>
        <w:rPr>
          <w:b/>
          <w:bCs/>
          <w:szCs w:val="28"/>
        </w:rPr>
      </w:pPr>
      <w:r>
        <w:rPr>
          <w:b/>
          <w:bCs/>
          <w:szCs w:val="28"/>
        </w:rPr>
        <w:t>По пункту 6 представления.</w:t>
      </w:r>
    </w:p>
    <w:p w:rsidR="003311B6" w:rsidRDefault="00B11DA6">
      <w:pPr>
        <w:tabs>
          <w:tab w:val="left" w:pos="7200"/>
        </w:tabs>
        <w:spacing w:line="234" w:lineRule="auto"/>
        <w:ind w:firstLine="720"/>
        <w:jc w:val="both"/>
        <w:rPr>
          <w:szCs w:val="28"/>
        </w:rPr>
      </w:pPr>
      <w:r>
        <w:rPr>
          <w:szCs w:val="28"/>
        </w:rPr>
        <w:t xml:space="preserve">Замечание КСП принято в работу. Вопрос увеличения финансирования по Закону № 106-оз на приобретение химиопрепаратов в </w:t>
      </w:r>
      <w:proofErr w:type="spellStart"/>
      <w:r>
        <w:rPr>
          <w:szCs w:val="28"/>
        </w:rPr>
        <w:t>таблетированной</w:t>
      </w:r>
      <w:proofErr w:type="spellEnd"/>
      <w:r>
        <w:rPr>
          <w:szCs w:val="28"/>
        </w:rPr>
        <w:t xml:space="preserve"> форме прорабатывается с министерством финансов Иркутской области. Министерством сформирована потребность на 2026 год в сумме 1972040,4 тыс. рублей.</w:t>
      </w:r>
    </w:p>
    <w:p w:rsidR="003311B6" w:rsidRDefault="00B11DA6">
      <w:pPr>
        <w:tabs>
          <w:tab w:val="left" w:pos="7200"/>
        </w:tabs>
        <w:spacing w:line="234" w:lineRule="auto"/>
        <w:ind w:firstLine="720"/>
        <w:jc w:val="both"/>
        <w:rPr>
          <w:szCs w:val="28"/>
        </w:rPr>
      </w:pPr>
      <w:r>
        <w:rPr>
          <w:szCs w:val="28"/>
        </w:rPr>
        <w:t>Сумма дополнительной потребности на онкопрепараты будет постоянно актуализироваться.</w:t>
      </w:r>
    </w:p>
    <w:p w:rsidR="003311B6" w:rsidRDefault="00B11DA6">
      <w:pPr>
        <w:tabs>
          <w:tab w:val="left" w:pos="7200"/>
        </w:tabs>
        <w:spacing w:line="234" w:lineRule="auto"/>
        <w:ind w:firstLine="720"/>
        <w:jc w:val="both"/>
        <w:rPr>
          <w:szCs w:val="28"/>
        </w:rPr>
      </w:pPr>
      <w:r>
        <w:rPr>
          <w:szCs w:val="28"/>
        </w:rPr>
        <w:lastRenderedPageBreak/>
        <w:t xml:space="preserve">На текущую дату сложилась судебная практика (Постановление Арбитражного суда Волго-Вятского округа от 18 декабря 2023 года </w:t>
      </w:r>
      <w:r>
        <w:rPr>
          <w:szCs w:val="28"/>
        </w:rPr>
        <w:br/>
        <w:t xml:space="preserve">№ Ф01-8100/2023 по делу № А28-13997/2022, определение Верховного Суда РФ от 15 апреля 2024 года № 301-ЭС24-3681), которая подтверждает правомерность оплаты за счет ОМС лекарств для лечения онкологических больных по схемам, назначенным в установленном порядке врачом. </w:t>
      </w:r>
      <w:r>
        <w:rPr>
          <w:szCs w:val="28"/>
        </w:rPr>
        <w:br/>
        <w:t xml:space="preserve">В соответствии с судебными решениями отсутствие постоянного ежедневного наблюдения за пациентами в условиях дневного стационара, учитывая особенности онкологических заболеваний, не подтверждает факт прекращения оказания медицинской помощи в виде курса противоопухолевой лекарственной терапии. Лекарственные препараты выдавались пациентам </w:t>
      </w:r>
      <w:r>
        <w:rPr>
          <w:szCs w:val="28"/>
        </w:rPr>
        <w:br/>
        <w:t>в момент их нахождения на лечении в дневном стационаре с целью продолжения полного комплексного курсового лечения на дому. Суды сочли правомерным использование средств ОМС на указанные цели.</w:t>
      </w:r>
    </w:p>
    <w:p w:rsidR="003311B6" w:rsidRDefault="00B11DA6" w:rsidP="00BF24F9">
      <w:pPr>
        <w:tabs>
          <w:tab w:val="left" w:pos="7200"/>
        </w:tabs>
        <w:spacing w:line="234" w:lineRule="auto"/>
        <w:ind w:firstLine="720"/>
        <w:jc w:val="both"/>
        <w:rPr>
          <w:rFonts w:ascii="TimesNewRomanPSMT" w:hAnsi="TimesNewRomanPSMT" w:cs="TimesNewRomanPSMT"/>
          <w:szCs w:val="28"/>
        </w:rPr>
      </w:pPr>
      <w:r>
        <w:rPr>
          <w:szCs w:val="28"/>
        </w:rPr>
        <w:t>Управленческие решения в части лекарственного обеспечения будут приниматься с учетом положений прямых правовых оснований в системе ОМС (в части изменения структуры реестра</w:t>
      </w:r>
      <w:r>
        <w:rPr>
          <w:rFonts w:ascii="TimesNewRomanPSMT" w:hAnsi="TimesNewRomanPSMT" w:cs="TimesNewRomanPSMT"/>
          <w:szCs w:val="28"/>
        </w:rPr>
        <w:t xml:space="preserve"> за оказанную медицинскую помощь онкобольным только в период нахождения в стационаре и т.д.).</w:t>
      </w:r>
    </w:p>
    <w:p w:rsidR="003311B6" w:rsidRDefault="00B11DA6">
      <w:pPr>
        <w:tabs>
          <w:tab w:val="left" w:pos="7200"/>
        </w:tabs>
        <w:spacing w:before="120" w:line="234" w:lineRule="auto"/>
        <w:ind w:firstLine="720"/>
        <w:jc w:val="both"/>
        <w:rPr>
          <w:b/>
          <w:bCs/>
          <w:szCs w:val="28"/>
        </w:rPr>
      </w:pPr>
      <w:r>
        <w:rPr>
          <w:b/>
          <w:bCs/>
          <w:szCs w:val="28"/>
        </w:rPr>
        <w:t>По пункту 7 представления</w:t>
      </w:r>
    </w:p>
    <w:p w:rsidR="003311B6" w:rsidRDefault="00B11DA6">
      <w:pPr>
        <w:spacing w:line="234" w:lineRule="auto"/>
        <w:ind w:firstLine="709"/>
        <w:jc w:val="both"/>
        <w:rPr>
          <w:szCs w:val="28"/>
        </w:rPr>
      </w:pPr>
      <w:r>
        <w:rPr>
          <w:szCs w:val="28"/>
        </w:rPr>
        <w:t xml:space="preserve">Отделом финансового контроля министерства при проведении плановых проверок в отношении подведомственных учреждений, включены вопросы проверки фактически достигнутых показателей в указанном отчете </w:t>
      </w:r>
      <w:r>
        <w:rPr>
          <w:szCs w:val="28"/>
        </w:rPr>
        <w:br/>
        <w:t xml:space="preserve">о выполнении государственного задания.  </w:t>
      </w:r>
    </w:p>
    <w:p w:rsidR="003311B6" w:rsidRDefault="00B11DA6">
      <w:pPr>
        <w:spacing w:line="234" w:lineRule="auto"/>
        <w:ind w:firstLine="709"/>
        <w:jc w:val="both"/>
        <w:rPr>
          <w:szCs w:val="28"/>
        </w:rPr>
      </w:pPr>
      <w:r>
        <w:rPr>
          <w:szCs w:val="28"/>
        </w:rPr>
        <w:t xml:space="preserve">По вопросу неправомерного расходования средств ОМС при начислении и выплате заработной платы с применением районного коэффициента в размере 1,3 вместо 1,2 сообщаем. </w:t>
      </w:r>
    </w:p>
    <w:p w:rsidR="003311B6" w:rsidRDefault="00B11DA6">
      <w:pPr>
        <w:spacing w:line="234" w:lineRule="auto"/>
        <w:ind w:firstLine="709"/>
        <w:jc w:val="both"/>
        <w:rPr>
          <w:szCs w:val="28"/>
        </w:rPr>
      </w:pPr>
      <w:r>
        <w:rPr>
          <w:szCs w:val="28"/>
        </w:rPr>
        <w:t>В связи с тем, что размеры районных коэффициентов к заработной плате установлены не только Законом Иркутской области от 17 декабря 2008 года № 123-оз «О размерах районного коэффициента к заработной плате работников государственных органов Иркутской области, государственных учреждений Иркутской области и предельном размере повышения районного коэффициента к заработной плате работников органов местного самоуправления муниципальных образований Иркутской области, муниципальных учреждений в Иркутской области», но и постановлением главы Администрации Иркутской области от 28 января 1993 года № 9 «О выравнивании районного коэффициента к заработной плате на территории Иркутской области», которое согласно определению Верховного Суда Российской Федерации от 19 марта 2008 года № 66-Г08-1 является нормативно-правовым актом трудового законодательства, то в соответствии со статьей 22 Трудового кодекса Российской Федерации выплата районного коэффициента, который является элементом заработной платы - прямая обязанность работодателя всех форм собственности.</w:t>
      </w:r>
    </w:p>
    <w:p w:rsidR="003311B6" w:rsidRDefault="00B11DA6">
      <w:pPr>
        <w:spacing w:line="234" w:lineRule="auto"/>
        <w:ind w:firstLine="709"/>
        <w:jc w:val="both"/>
        <w:rPr>
          <w:szCs w:val="28"/>
        </w:rPr>
      </w:pPr>
      <w:r>
        <w:rPr>
          <w:szCs w:val="28"/>
        </w:rPr>
        <w:t xml:space="preserve">Запрос Правительства Иркутской области от 18 февраля 2025 года            № 02-09-1732/25 в Конституционный Суд Российской Федерации о проверке конституционности положений статьи 316 Трудового кодекса Российской Федерации, части 1 статьи 30 Федерального закона от 29 ноября 2010 года               </w:t>
      </w:r>
      <w:r>
        <w:rPr>
          <w:szCs w:val="28"/>
        </w:rPr>
        <w:lastRenderedPageBreak/>
        <w:t>№ 326-ФЗ (далее - Запрос, Суд) отказан в принятии к рассмотрению 18 сентября 2025 года. Определение Суда по Запросу окончательно                         и обжалованию не подлежит.</w:t>
      </w:r>
    </w:p>
    <w:p w:rsidR="003311B6" w:rsidRDefault="00B11DA6">
      <w:pPr>
        <w:spacing w:line="234" w:lineRule="auto"/>
        <w:jc w:val="both"/>
        <w:rPr>
          <w:szCs w:val="28"/>
        </w:rPr>
      </w:pPr>
      <w:r>
        <w:rPr>
          <w:szCs w:val="28"/>
        </w:rPr>
        <w:t xml:space="preserve"> </w:t>
      </w:r>
      <w:r>
        <w:rPr>
          <w:szCs w:val="28"/>
        </w:rPr>
        <w:tab/>
        <w:t xml:space="preserve">В настоящее время определен механизм выплаты разницы между районным коэффициентом, установленным на федеральном уровне, </w:t>
      </w:r>
      <w:r>
        <w:rPr>
          <w:szCs w:val="28"/>
        </w:rPr>
        <w:br/>
        <w:t xml:space="preserve">и районным коэффициентом, установленным на региональном уровне, за счет средств областного бюджета  в виде субсидии на иную цель. Министерством ведется работа по доведению средств до подведомственных организаций </w:t>
      </w:r>
      <w:r>
        <w:rPr>
          <w:szCs w:val="28"/>
        </w:rPr>
        <w:br/>
        <w:t xml:space="preserve">на возмещение расходов по решениям и требованиям контрольно-надзорных органов на вышеуказанные цели. </w:t>
      </w:r>
      <w:r>
        <w:rPr>
          <w:color w:val="000000"/>
          <w:szCs w:val="24"/>
        </w:rPr>
        <w:t xml:space="preserve">Источник финансирования расходов </w:t>
      </w:r>
      <w:r>
        <w:rPr>
          <w:color w:val="000000"/>
          <w:szCs w:val="24"/>
        </w:rPr>
        <w:br/>
      </w:r>
      <w:r>
        <w:rPr>
          <w:szCs w:val="28"/>
        </w:rPr>
        <w:t xml:space="preserve">на выплату разницы </w:t>
      </w:r>
      <w:r>
        <w:rPr>
          <w:szCs w:val="28"/>
          <w:lang w:val="ru"/>
        </w:rPr>
        <w:t>между</w:t>
      </w:r>
      <w:r>
        <w:rPr>
          <w:szCs w:val="28"/>
        </w:rPr>
        <w:t xml:space="preserve"> </w:t>
      </w:r>
      <w:r>
        <w:rPr>
          <w:szCs w:val="28"/>
          <w:lang w:val="ru"/>
        </w:rPr>
        <w:t xml:space="preserve">районным коэффициентом, установленным </w:t>
      </w:r>
      <w:r>
        <w:rPr>
          <w:szCs w:val="28"/>
          <w:lang w:val="ru"/>
        </w:rPr>
        <w:br/>
        <w:t xml:space="preserve">на федеральном уровне, </w:t>
      </w:r>
      <w:r>
        <w:rPr>
          <w:szCs w:val="28"/>
        </w:rPr>
        <w:t>и</w:t>
      </w:r>
      <w:r>
        <w:rPr>
          <w:szCs w:val="28"/>
          <w:lang w:val="ru"/>
        </w:rPr>
        <w:t xml:space="preserve"> районным</w:t>
      </w:r>
      <w:r>
        <w:rPr>
          <w:szCs w:val="28"/>
        </w:rPr>
        <w:t xml:space="preserve"> </w:t>
      </w:r>
      <w:r>
        <w:rPr>
          <w:szCs w:val="28"/>
          <w:lang w:val="ru"/>
        </w:rPr>
        <w:t xml:space="preserve">коэффициентом, установленным </w:t>
      </w:r>
      <w:r>
        <w:rPr>
          <w:szCs w:val="28"/>
          <w:lang w:val="ru"/>
        </w:rPr>
        <w:br/>
        <w:t>на региональном уровне,</w:t>
      </w:r>
      <w:r>
        <w:rPr>
          <w:szCs w:val="28"/>
        </w:rPr>
        <w:t xml:space="preserve"> на 2026 год  не определен.</w:t>
      </w:r>
    </w:p>
    <w:p w:rsidR="003311B6" w:rsidRDefault="003311B6">
      <w:pPr>
        <w:spacing w:line="234" w:lineRule="auto"/>
        <w:jc w:val="both"/>
        <w:rPr>
          <w:szCs w:val="28"/>
        </w:rPr>
      </w:pPr>
    </w:p>
    <w:p w:rsidR="003311B6" w:rsidRDefault="00B11DA6">
      <w:pPr>
        <w:spacing w:line="234" w:lineRule="auto"/>
        <w:jc w:val="both"/>
        <w:rPr>
          <w:szCs w:val="28"/>
        </w:rPr>
      </w:pPr>
      <w:r>
        <w:rPr>
          <w:szCs w:val="28"/>
        </w:rPr>
        <w:tab/>
        <w:t xml:space="preserve">Приложение: на 99 л. в 1 экз. </w:t>
      </w:r>
    </w:p>
    <w:p w:rsidR="003311B6" w:rsidRDefault="00B11DA6">
      <w:pPr>
        <w:spacing w:line="234" w:lineRule="auto"/>
        <w:jc w:val="both"/>
        <w:rPr>
          <w:szCs w:val="28"/>
        </w:rPr>
      </w:pPr>
      <w:r>
        <w:rPr>
          <w:szCs w:val="28"/>
        </w:rPr>
        <w:tab/>
      </w:r>
    </w:p>
    <w:p w:rsidR="003311B6" w:rsidRDefault="003311B6">
      <w:pPr>
        <w:jc w:val="center"/>
        <w:rPr>
          <w:sz w:val="14"/>
          <w:szCs w:val="14"/>
        </w:rPr>
      </w:pPr>
    </w:p>
    <w:tbl>
      <w:tblPr>
        <w:tblStyle w:val="14"/>
        <w:tblpPr w:leftFromText="180" w:rightFromText="180" w:vertAnchor="text" w:tblpY="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8"/>
        <w:gridCol w:w="4820"/>
      </w:tblGrid>
      <w:tr w:rsidR="003311B6">
        <w:trPr>
          <w:trHeight w:val="388"/>
        </w:trPr>
        <w:tc>
          <w:tcPr>
            <w:tcW w:w="4678" w:type="dxa"/>
          </w:tcPr>
          <w:p w:rsidR="003311B6" w:rsidRDefault="00B11DA6">
            <w:pPr>
              <w:keepNext/>
              <w:keepLines/>
              <w:contextualSpacing/>
              <w:rPr>
                <w:rFonts w:ascii="Times New Roman" w:hAnsi="Times New Roman"/>
              </w:rPr>
            </w:pPr>
            <w:bookmarkStart w:id="3" w:name="SIGNERPOST1"/>
            <w:r>
              <w:rPr>
                <w:rFonts w:ascii="Times New Roman" w:hAnsi="Times New Roman"/>
              </w:rPr>
              <w:t>Должность</w:t>
            </w:r>
            <w:bookmarkEnd w:id="3"/>
          </w:p>
        </w:tc>
        <w:tc>
          <w:tcPr>
            <w:tcW w:w="4820" w:type="dxa"/>
            <w:vAlign w:val="bottom"/>
          </w:tcPr>
          <w:p w:rsidR="003311B6" w:rsidRDefault="00B11DA6">
            <w:pPr>
              <w:keepNext/>
              <w:keepLines/>
              <w:contextualSpacing/>
              <w:jc w:val="right"/>
              <w:rPr>
                <w:rFonts w:ascii="Times New Roman" w:hAnsi="Times New Roman"/>
              </w:rPr>
            </w:pPr>
            <w:bookmarkStart w:id="4" w:name="SIGNERNAME1"/>
            <w:r>
              <w:rPr>
                <w:rFonts w:ascii="Times New Roman" w:hAnsi="Times New Roman"/>
              </w:rPr>
              <w:t>И.О. Фамилия</w:t>
            </w:r>
            <w:bookmarkEnd w:id="4"/>
          </w:p>
        </w:tc>
      </w:tr>
      <w:tr w:rsidR="003311B6">
        <w:trPr>
          <w:trHeight w:val="184"/>
        </w:trPr>
        <w:tc>
          <w:tcPr>
            <w:tcW w:w="9498" w:type="dxa"/>
            <w:gridSpan w:val="2"/>
          </w:tcPr>
          <w:p w:rsidR="003311B6" w:rsidRDefault="00B11DA6">
            <w:pPr>
              <w:keepNext/>
              <w:keepLines/>
              <w:ind w:firstLine="2977"/>
              <w:contextualSpacing/>
              <w:rPr>
                <w:rFonts w:ascii="Times New Roman" w:hAnsi="Times New Roman"/>
              </w:rPr>
            </w:pPr>
            <w:r>
              <w:rPr>
                <w:rFonts w:ascii="Times New Roman" w:hAnsi="Times New Roman"/>
              </w:rPr>
              <w:t xml:space="preserve"> </w:t>
            </w:r>
          </w:p>
          <w:tbl>
            <w:tblPr>
              <w:tblStyle w:val="af7"/>
              <w:tblpPr w:leftFromText="180" w:rightFromText="180" w:vertAnchor="page" w:horzAnchor="page" w:tblpX="3181" w:tblpY="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4"/>
            </w:tblGrid>
            <w:tr w:rsidR="003311B6">
              <w:trPr>
                <w:trHeight w:val="1191"/>
              </w:trPr>
              <w:tc>
                <w:tcPr>
                  <w:tcW w:w="3494" w:type="dxa"/>
                </w:tcPr>
                <w:p w:rsidR="003311B6" w:rsidRDefault="00B11DA6">
                  <w:pPr>
                    <w:keepNext/>
                    <w:keepLines/>
                    <w:contextualSpacing/>
                    <w:rPr>
                      <w:rFonts w:eastAsia="Calibri"/>
                      <w:sz w:val="24"/>
                      <w:szCs w:val="24"/>
                    </w:rPr>
                  </w:pPr>
                  <w:bookmarkStart w:id="5" w:name="SIGNERSTAMP1"/>
                  <w:r>
                    <w:rPr>
                      <w:rFonts w:eastAsia="Calibri"/>
                      <w:sz w:val="24"/>
                      <w:szCs w:val="24"/>
                    </w:rPr>
                    <w:t>|</w:t>
                  </w:r>
                </w:p>
                <w:p w:rsidR="003311B6" w:rsidRDefault="00B11DA6">
                  <w:pPr>
                    <w:keepNext/>
                    <w:keepLines/>
                    <w:contextualSpacing/>
                    <w:rPr>
                      <w:rFonts w:eastAsia="Calibri"/>
                      <w:sz w:val="24"/>
                      <w:szCs w:val="24"/>
                    </w:rPr>
                  </w:pPr>
                  <w:r>
                    <w:rPr>
                      <w:rFonts w:eastAsia="Calibri"/>
                      <w:sz w:val="24"/>
                      <w:szCs w:val="24"/>
                    </w:rPr>
                    <w:t>|                Штамп ЭП</w:t>
                  </w:r>
                </w:p>
                <w:p w:rsidR="003311B6" w:rsidRDefault="00B11DA6">
                  <w:pPr>
                    <w:keepNext/>
                    <w:keepLines/>
                    <w:contextualSpacing/>
                    <w:rPr>
                      <w:rFonts w:eastAsia="Calibri"/>
                      <w:sz w:val="24"/>
                      <w:szCs w:val="24"/>
                    </w:rPr>
                  </w:pPr>
                  <w:r>
                    <w:rPr>
                      <w:rFonts w:eastAsia="Calibri"/>
                      <w:sz w:val="24"/>
                      <w:szCs w:val="24"/>
                    </w:rPr>
                    <w:t>|</w:t>
                  </w:r>
                </w:p>
                <w:p w:rsidR="003311B6" w:rsidRDefault="00B11DA6">
                  <w:pPr>
                    <w:keepNext/>
                    <w:keepLines/>
                    <w:contextualSpacing/>
                    <w:rPr>
                      <w:rFonts w:eastAsia="Calibri"/>
                    </w:rPr>
                  </w:pPr>
                  <w:r>
                    <w:rPr>
                      <w:rFonts w:eastAsia="Calibri"/>
                      <w:sz w:val="24"/>
                      <w:szCs w:val="24"/>
                    </w:rPr>
                    <w:t>|_ _ _ _ _ _ _ _ _ _ _ _ _ _ _ _ _</w:t>
                  </w:r>
                  <w:bookmarkEnd w:id="5"/>
                </w:p>
              </w:tc>
            </w:tr>
          </w:tbl>
          <w:p w:rsidR="003311B6" w:rsidRDefault="003311B6">
            <w:pPr>
              <w:keepNext/>
              <w:keepLines/>
              <w:ind w:firstLine="2977"/>
              <w:contextualSpacing/>
              <w:rPr>
                <w:rFonts w:ascii="Times New Roman" w:hAnsi="Times New Roman"/>
                <w:sz w:val="24"/>
              </w:rPr>
            </w:pPr>
          </w:p>
        </w:tc>
      </w:tr>
    </w:tbl>
    <w:p w:rsidR="003311B6" w:rsidRDefault="003311B6">
      <w:pPr>
        <w:jc w:val="center"/>
        <w:rPr>
          <w:sz w:val="14"/>
          <w:szCs w:val="14"/>
        </w:rPr>
      </w:pPr>
    </w:p>
    <w:p w:rsidR="003311B6" w:rsidRDefault="003311B6">
      <w:pPr>
        <w:jc w:val="center"/>
      </w:pPr>
    </w:p>
    <w:tbl>
      <w:tblPr>
        <w:tblStyle w:val="af7"/>
        <w:tblpPr w:leftFromText="180" w:rightFromText="180" w:vertAnchor="text" w:horzAnchor="margin" w:tblpY="2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5"/>
      </w:tblGrid>
      <w:tr w:rsidR="003311B6">
        <w:trPr>
          <w:trHeight w:val="460"/>
        </w:trPr>
        <w:tc>
          <w:tcPr>
            <w:tcW w:w="3435" w:type="dxa"/>
          </w:tcPr>
          <w:p w:rsidR="003311B6" w:rsidRDefault="003311B6">
            <w:pPr>
              <w:rPr>
                <w:rFonts w:eastAsia="Calibri"/>
                <w:sz w:val="16"/>
              </w:rPr>
            </w:pPr>
            <w:bookmarkStart w:id="6" w:name="EXECUTOR"/>
            <w:bookmarkEnd w:id="6"/>
          </w:p>
          <w:p w:rsidR="003311B6" w:rsidRDefault="003311B6">
            <w:pPr>
              <w:rPr>
                <w:rFonts w:eastAsia="Calibri"/>
                <w:sz w:val="16"/>
              </w:rPr>
            </w:pPr>
          </w:p>
        </w:tc>
      </w:tr>
    </w:tbl>
    <w:p w:rsidR="003311B6" w:rsidRDefault="003311B6">
      <w:pPr>
        <w:rPr>
          <w:rFonts w:eastAsia="Calibri"/>
        </w:rPr>
      </w:pPr>
    </w:p>
    <w:p w:rsidR="003311B6" w:rsidRDefault="003311B6"/>
    <w:p w:rsidR="003311B6" w:rsidRDefault="003311B6"/>
    <w:p w:rsidR="003311B6" w:rsidRDefault="00B11DA6">
      <w:pPr>
        <w:spacing w:line="288" w:lineRule="auto"/>
        <w:ind w:firstLine="709"/>
        <w:jc w:val="both"/>
      </w:pPr>
      <w:r>
        <w:rPr>
          <w:szCs w:val="28"/>
        </w:rPr>
        <w:t xml:space="preserve"> </w:t>
      </w:r>
    </w:p>
    <w:sectPr w:rsidR="003311B6">
      <w:headerReference w:type="default" r:id="rId13"/>
      <w:pgSz w:w="11907" w:h="16840"/>
      <w:pgMar w:top="1134" w:right="850" w:bottom="1134" w:left="1701"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1B6" w:rsidRDefault="00B11DA6">
      <w:r>
        <w:separator/>
      </w:r>
    </w:p>
  </w:endnote>
  <w:endnote w:type="continuationSeparator" w:id="0">
    <w:p w:rsidR="003311B6" w:rsidRDefault="00B1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charset w:val="00"/>
    <w:family w:val="auto"/>
    <w:pitch w:val="default"/>
  </w:font>
  <w:font w:name="Times New Roman Cyr Bold">
    <w:altName w:val="Cambria"/>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1B6" w:rsidRDefault="00B11DA6">
      <w:r>
        <w:separator/>
      </w:r>
    </w:p>
  </w:footnote>
  <w:footnote w:type="continuationSeparator" w:id="0">
    <w:p w:rsidR="003311B6" w:rsidRDefault="00B11DA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7835878"/>
      <w:docPartObj>
        <w:docPartGallery w:val="Page Numbers (Top of Page)"/>
        <w:docPartUnique/>
      </w:docPartObj>
    </w:sdtPr>
    <w:sdtEndPr/>
    <w:sdtContent>
      <w:p w:rsidR="003311B6" w:rsidRDefault="00B11DA6">
        <w:pPr>
          <w:pStyle w:val="af4"/>
          <w:jc w:val="center"/>
        </w:pPr>
        <w:r>
          <w:fldChar w:fldCharType="begin"/>
        </w:r>
        <w:r>
          <w:instrText>PAGE   \* MERGEFORMAT</w:instrText>
        </w:r>
        <w:r>
          <w:fldChar w:fldCharType="separate"/>
        </w:r>
        <w:r w:rsidR="00FD36A9">
          <w:rPr>
            <w:noProof/>
          </w:rPr>
          <w:t>10</w:t>
        </w:r>
        <w:r>
          <w:fldChar w:fldCharType="end"/>
        </w:r>
      </w:p>
    </w:sdtContent>
  </w:sdt>
  <w:p w:rsidR="003311B6" w:rsidRDefault="003311B6">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53BFE"/>
    <w:multiLevelType w:val="hybridMultilevel"/>
    <w:tmpl w:val="5DCCCE02"/>
    <w:lvl w:ilvl="0" w:tplc="A998A38E">
      <w:start w:val="1"/>
      <w:numFmt w:val="decimal"/>
      <w:lvlText w:val="%1)"/>
      <w:lvlJc w:val="left"/>
      <w:pPr>
        <w:ind w:left="1080" w:hanging="360"/>
      </w:pPr>
      <w:rPr>
        <w:rFonts w:hint="default"/>
      </w:rPr>
    </w:lvl>
    <w:lvl w:ilvl="1" w:tplc="0F44279E">
      <w:start w:val="1"/>
      <w:numFmt w:val="lowerLetter"/>
      <w:lvlText w:val="%2."/>
      <w:lvlJc w:val="left"/>
      <w:pPr>
        <w:ind w:left="1800" w:hanging="360"/>
      </w:pPr>
    </w:lvl>
    <w:lvl w:ilvl="2" w:tplc="4BB24DB6">
      <w:start w:val="1"/>
      <w:numFmt w:val="lowerRoman"/>
      <w:lvlText w:val="%3."/>
      <w:lvlJc w:val="right"/>
      <w:pPr>
        <w:ind w:left="2520" w:hanging="180"/>
      </w:pPr>
    </w:lvl>
    <w:lvl w:ilvl="3" w:tplc="B0E4C796">
      <w:start w:val="1"/>
      <w:numFmt w:val="decimal"/>
      <w:lvlText w:val="%4."/>
      <w:lvlJc w:val="left"/>
      <w:pPr>
        <w:ind w:left="3240" w:hanging="360"/>
      </w:pPr>
    </w:lvl>
    <w:lvl w:ilvl="4" w:tplc="6840BBD6">
      <w:start w:val="1"/>
      <w:numFmt w:val="lowerLetter"/>
      <w:lvlText w:val="%5."/>
      <w:lvlJc w:val="left"/>
      <w:pPr>
        <w:ind w:left="3960" w:hanging="360"/>
      </w:pPr>
    </w:lvl>
    <w:lvl w:ilvl="5" w:tplc="81F64A3A">
      <w:start w:val="1"/>
      <w:numFmt w:val="lowerRoman"/>
      <w:lvlText w:val="%6."/>
      <w:lvlJc w:val="right"/>
      <w:pPr>
        <w:ind w:left="4680" w:hanging="180"/>
      </w:pPr>
    </w:lvl>
    <w:lvl w:ilvl="6" w:tplc="2AE28C40">
      <w:start w:val="1"/>
      <w:numFmt w:val="decimal"/>
      <w:lvlText w:val="%7."/>
      <w:lvlJc w:val="left"/>
      <w:pPr>
        <w:ind w:left="5400" w:hanging="360"/>
      </w:pPr>
    </w:lvl>
    <w:lvl w:ilvl="7" w:tplc="0922E1E4">
      <w:start w:val="1"/>
      <w:numFmt w:val="lowerLetter"/>
      <w:lvlText w:val="%8."/>
      <w:lvlJc w:val="left"/>
      <w:pPr>
        <w:ind w:left="6120" w:hanging="360"/>
      </w:pPr>
    </w:lvl>
    <w:lvl w:ilvl="8" w:tplc="A5C4EB1C">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ocumentProtection w:edit="form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1B6"/>
    <w:rsid w:val="00006E28"/>
    <w:rsid w:val="001F2E60"/>
    <w:rsid w:val="003311B6"/>
    <w:rsid w:val="00514148"/>
    <w:rsid w:val="0051542D"/>
    <w:rsid w:val="00543B4E"/>
    <w:rsid w:val="005C0AF1"/>
    <w:rsid w:val="005C6EB1"/>
    <w:rsid w:val="007075BD"/>
    <w:rsid w:val="007E5275"/>
    <w:rsid w:val="008723A7"/>
    <w:rsid w:val="009B30E5"/>
    <w:rsid w:val="00B11DA6"/>
    <w:rsid w:val="00BF24F9"/>
    <w:rsid w:val="00ED136C"/>
    <w:rsid w:val="00F166BB"/>
    <w:rsid w:val="00FD36A9"/>
    <w:rsid w:val="00FF6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88DCED4"/>
  <w15:docId w15:val="{C28F5261-F5CD-461A-B22A-ED3968678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5B9BD5" w:themeColor="accent1"/>
      <w:sz w:val="18"/>
      <w:szCs w:val="18"/>
    </w:rPr>
  </w:style>
  <w:style w:type="character" w:customStyle="1" w:styleId="aa">
    <w:name w:val="Нижний колонтитул Знак"/>
    <w:link w:val="ab"/>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paragraph" w:styleId="af4">
    <w:name w:val="header"/>
    <w:basedOn w:val="a"/>
    <w:link w:val="af5"/>
    <w:uiPriority w:val="99"/>
    <w:pPr>
      <w:tabs>
        <w:tab w:val="center" w:pos="4536"/>
        <w:tab w:val="right" w:pos="9072"/>
      </w:tabs>
    </w:pPr>
  </w:style>
  <w:style w:type="paragraph" w:styleId="ab">
    <w:name w:val="footer"/>
    <w:basedOn w:val="a"/>
    <w:link w:val="aa"/>
    <w:pPr>
      <w:tabs>
        <w:tab w:val="center" w:pos="4536"/>
        <w:tab w:val="right" w:pos="9072"/>
      </w:tabs>
    </w:pPr>
  </w:style>
  <w:style w:type="character" w:styleId="af6">
    <w:name w:val="page number"/>
    <w:basedOn w:val="a0"/>
  </w:style>
  <w:style w:type="paragraph" w:customStyle="1" w:styleId="13">
    <w:name w:val="Цитата1"/>
    <w:basedOn w:val="a"/>
    <w:pPr>
      <w:spacing w:before="160" w:after="480" w:line="240" w:lineRule="exact"/>
      <w:ind w:left="57" w:right="4820"/>
      <w:jc w:val="both"/>
    </w:pPr>
  </w:style>
  <w:style w:type="table" w:styleId="af7">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alloon Text"/>
    <w:basedOn w:val="a"/>
    <w:semiHidden/>
    <w:rPr>
      <w:rFonts w:ascii="Tahoma" w:hAnsi="Tahoma" w:cs="Tahoma"/>
      <w:sz w:val="16"/>
      <w:szCs w:val="16"/>
    </w:rPr>
  </w:style>
  <w:style w:type="paragraph" w:customStyle="1" w:styleId="Default">
    <w:name w:val="Default"/>
    <w:rPr>
      <w:color w:val="000000"/>
      <w:sz w:val="24"/>
      <w:szCs w:val="24"/>
    </w:rPr>
  </w:style>
  <w:style w:type="character" w:styleId="af9">
    <w:name w:val="Hyperlink"/>
    <w:basedOn w:val="a0"/>
    <w:rPr>
      <w:color w:val="0563C1" w:themeColor="hyperlink"/>
      <w:u w:val="single"/>
    </w:rPr>
  </w:style>
  <w:style w:type="table" w:customStyle="1" w:styleId="14">
    <w:name w:val="Сетка таблицы1"/>
    <w:basedOn w:val="a1"/>
    <w:next w:val="af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semiHidden/>
    <w:rPr>
      <w:rFonts w:ascii="Courier New" w:hAnsi="Courier New" w:cs="Courier New"/>
    </w:rPr>
  </w:style>
  <w:style w:type="paragraph" w:styleId="afa">
    <w:name w:val="No Spacing"/>
    <w:uiPriority w:val="1"/>
    <w:qFormat/>
    <w:rPr>
      <w:rFonts w:asciiTheme="minorHAnsi" w:eastAsiaTheme="minorHAnsi" w:hAnsiTheme="minorHAnsi" w:cstheme="minorBidi"/>
      <w:sz w:val="22"/>
      <w:szCs w:val="22"/>
      <w:lang w:eastAsia="en-US"/>
    </w:rPr>
  </w:style>
  <w:style w:type="character" w:customStyle="1" w:styleId="af5">
    <w:name w:val="Верхний колонтитул Знак"/>
    <w:basedOn w:val="a0"/>
    <w:link w:val="af4"/>
    <w:uiPriority w:val="99"/>
    <w:rPr>
      <w:sz w:val="28"/>
    </w:rPr>
  </w:style>
  <w:style w:type="character" w:customStyle="1" w:styleId="WW8Num1z2">
    <w:name w:val="WW8Num1z2"/>
    <w:qFormat/>
  </w:style>
  <w:style w:type="character" w:customStyle="1" w:styleId="fontstyle01">
    <w:name w:val="fontstyle01"/>
    <w:qFormat/>
    <w:rPr>
      <w:rFonts w:ascii="TimesNewRomanPSMT" w:hAnsi="TimesNewRomanPSMT"/>
      <w:color w:val="000000"/>
      <w:sz w:val="26"/>
      <w:szCs w:val="26"/>
    </w:rPr>
  </w:style>
  <w:style w:type="character" w:customStyle="1" w:styleId="organictextcontentspan">
    <w:name w:val="organictextcontentspan"/>
    <w:qFormat/>
  </w:style>
  <w:style w:type="paragraph" w:styleId="afb">
    <w:name w:val="List Paragraph"/>
    <w:basedOn w:val="a"/>
    <w:uiPriority w:val="34"/>
    <w:qFormat/>
    <w:pPr>
      <w:ind w:left="720"/>
      <w:contextualSpacing/>
    </w:pPr>
  </w:style>
  <w:style w:type="paragraph" w:styleId="afc">
    <w:name w:val="Normal (Web)"/>
    <w:basedOn w:val="a"/>
    <w:uiPriority w:val="99"/>
    <w:unhideWhenUsed/>
    <w:rPr>
      <w:rFonts w:eastAsiaTheme="minorHAnsi"/>
      <w:sz w:val="24"/>
      <w:szCs w:val="24"/>
    </w:rPr>
  </w:style>
  <w:style w:type="character" w:styleId="afd">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Документ" ma:contentTypeID="0x0101003A726CD850C6124EA5E1285C2704ACAF" ma:contentTypeVersion="0" ma:contentTypeDescription="Создание документа." ma:contentTypeScope="" ma:versionID="2fac7c2e50939f1770581a44ef649fcd">
  <xsd:schema xmlns:xsd="http://www.w3.org/2001/XMLSchema" xmlns:xs="http://www.w3.org/2001/XMLSchema" xmlns:p="http://schemas.microsoft.com/office/2006/metadata/properties" xmlns:ns2="0610b265-b51e-4be1-ae61-790323ddb9f7" targetNamespace="http://schemas.microsoft.com/office/2006/metadata/properties" ma:root="true" ma:fieldsID="afb2245a8354bbbac4b0f4d042c99280" ns2:_="">
    <xsd:import namespace="0610b265-b51e-4be1-ae61-790323ddb9f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10b265-b51e-4be1-ae61-790323ddb9f7"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53C981-3576-4B12-BE3D-A191FB9650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9A5029-1806-46F0-BF61-99B8E4D09505}">
  <ds:schemaRefs>
    <ds:schemaRef ds:uri="http://schemas.microsoft.com/sharepoint/v3/contenttype/forms"/>
  </ds:schemaRefs>
</ds:datastoreItem>
</file>

<file path=customXml/itemProps3.xml><?xml version="1.0" encoding="utf-8"?>
<ds:datastoreItem xmlns:ds="http://schemas.openxmlformats.org/officeDocument/2006/customXml" ds:itemID="{C7B054B4-D8C4-4CC6-A705-CAA80318DBE3}">
  <ds:schemaRefs>
    <ds:schemaRef ds:uri="http://schemas.microsoft.com/sharepoint/events"/>
  </ds:schemaRefs>
</ds:datastoreItem>
</file>

<file path=customXml/itemProps4.xml><?xml version="1.0" encoding="utf-8"?>
<ds:datastoreItem xmlns:ds="http://schemas.openxmlformats.org/officeDocument/2006/customXml" ds:itemID="{38B7A20D-970C-4F09-B37E-D2BD3948E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10b265-b51e-4be1-ae61-790323ddb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3704</Words>
  <Characters>21114</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И54</vt:lpstr>
    </vt:vector>
  </TitlesOfParts>
  <Company>Управление информационного и документационного обеспечения</Company>
  <LinksUpToDate>false</LinksUpToDate>
  <CharactersWithSpaces>24769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И54</dc:title>
  <dc:subject/>
  <dc:creator>User</dc:creator>
  <cp:keywords/>
  <dc:description/>
  <cp:lastModifiedBy>Маргарита В. Захарова</cp:lastModifiedBy>
  <cp:revision>15</cp:revision>
  <dcterms:created xsi:type="dcterms:W3CDTF">2025-12-23T02:14:00Z</dcterms:created>
  <dcterms:modified xsi:type="dcterms:W3CDTF">2025-12-23T05:06:00Z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0x0101003A726CD850C6124EA5E1285C2704ACAF</vt:lpwstr>
  </property>
</Properties>
</file>